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0A68" w14:textId="77777777" w:rsidR="00E56372" w:rsidRDefault="00416B8C">
      <w:pPr>
        <w:pStyle w:val="Title"/>
        <w:spacing w:line="223" w:lineRule="auto"/>
      </w:pPr>
      <w:r>
        <w:rPr>
          <w:color w:val="005824"/>
        </w:rPr>
        <w:t>Enhanced shared parental leave Template letter to practices</w:t>
      </w:r>
    </w:p>
    <w:p w14:paraId="697918F6" w14:textId="77777777" w:rsidR="00E56372" w:rsidRDefault="00E56372">
      <w:pPr>
        <w:pStyle w:val="BodyText"/>
        <w:spacing w:before="2"/>
        <w:rPr>
          <w:b/>
          <w:sz w:val="58"/>
        </w:rPr>
      </w:pPr>
    </w:p>
    <w:p w14:paraId="65BF85C2" w14:textId="77777777" w:rsidR="00E56372" w:rsidRDefault="00416B8C">
      <w:pPr>
        <w:pStyle w:val="BodyText"/>
        <w:spacing w:line="489" w:lineRule="auto"/>
        <w:ind w:left="113" w:right="8436"/>
      </w:pPr>
      <w:r>
        <w:rPr>
          <w:color w:val="575756"/>
        </w:rPr>
        <w:t>[NAME] [ADDRESS] [DATE]</w:t>
      </w:r>
    </w:p>
    <w:p w14:paraId="7F7B4EFF" w14:textId="77777777" w:rsidR="00E56372" w:rsidRDefault="00416B8C">
      <w:pPr>
        <w:pStyle w:val="BodyText"/>
        <w:spacing w:before="1"/>
        <w:ind w:left="113"/>
      </w:pPr>
      <w:r>
        <w:rPr>
          <w:color w:val="575756"/>
        </w:rPr>
        <w:t>Dear [NAME OF PRACTICE/PRACTICE MANAGER/MANAGING PARTNER],</w:t>
      </w:r>
    </w:p>
    <w:p w14:paraId="38927F94" w14:textId="77777777" w:rsidR="00E56372" w:rsidRDefault="00E56372">
      <w:pPr>
        <w:pStyle w:val="BodyText"/>
        <w:spacing w:before="9"/>
      </w:pPr>
    </w:p>
    <w:p w14:paraId="67351CD1" w14:textId="77777777" w:rsidR="00E56372" w:rsidRDefault="00416B8C">
      <w:pPr>
        <w:pStyle w:val="BodyText"/>
        <w:spacing w:line="244" w:lineRule="auto"/>
        <w:ind w:left="113"/>
      </w:pPr>
      <w:r>
        <w:rPr>
          <w:color w:val="575756"/>
        </w:rPr>
        <w:t xml:space="preserve">As </w:t>
      </w:r>
      <w:r>
        <w:rPr>
          <w:color w:val="575756"/>
          <w:spacing w:val="-3"/>
        </w:rPr>
        <w:t xml:space="preserve">you may </w:t>
      </w:r>
      <w:r>
        <w:rPr>
          <w:color w:val="575756"/>
        </w:rPr>
        <w:t xml:space="preserve">be aware, GPC recently </w:t>
      </w:r>
      <w:r>
        <w:rPr>
          <w:color w:val="575756"/>
          <w:spacing w:val="-2"/>
        </w:rPr>
        <w:t xml:space="preserve">agreed </w:t>
      </w:r>
      <w:r>
        <w:rPr>
          <w:color w:val="575756"/>
        </w:rPr>
        <w:t xml:space="preserve">a </w:t>
      </w:r>
      <w:r>
        <w:rPr>
          <w:color w:val="575756"/>
          <w:spacing w:val="-3"/>
        </w:rPr>
        <w:t xml:space="preserve">joint commitment </w:t>
      </w:r>
      <w:r>
        <w:rPr>
          <w:color w:val="575756"/>
        </w:rPr>
        <w:t xml:space="preserve">with NHS England and </w:t>
      </w:r>
      <w:r>
        <w:rPr>
          <w:color w:val="575756"/>
          <w:spacing w:val="-3"/>
        </w:rPr>
        <w:t xml:space="preserve">Improvement, to </w:t>
      </w:r>
      <w:r>
        <w:rPr>
          <w:color w:val="575756"/>
        </w:rPr>
        <w:t xml:space="preserve">work </w:t>
      </w:r>
      <w:r>
        <w:rPr>
          <w:color w:val="575756"/>
          <w:spacing w:val="-3"/>
        </w:rPr>
        <w:t xml:space="preserve">towards </w:t>
      </w:r>
      <w:r>
        <w:rPr>
          <w:color w:val="575756"/>
        </w:rPr>
        <w:t xml:space="preserve">eradicating the significant Gender </w:t>
      </w:r>
      <w:r>
        <w:rPr>
          <w:color w:val="575756"/>
          <w:spacing w:val="-3"/>
        </w:rPr>
        <w:t xml:space="preserve">Pay </w:t>
      </w:r>
      <w:r>
        <w:rPr>
          <w:color w:val="575756"/>
        </w:rPr>
        <w:t xml:space="preserve">Gap in General Practice. A </w:t>
      </w:r>
      <w:r>
        <w:rPr>
          <w:color w:val="575756"/>
          <w:spacing w:val="-3"/>
        </w:rPr>
        <w:t xml:space="preserve">key component </w:t>
      </w:r>
      <w:r>
        <w:rPr>
          <w:color w:val="575756"/>
        </w:rPr>
        <w:t xml:space="preserve">of this is supporting practices </w:t>
      </w:r>
      <w:r>
        <w:rPr>
          <w:color w:val="575756"/>
          <w:spacing w:val="-3"/>
        </w:rPr>
        <w:t xml:space="preserve">to </w:t>
      </w:r>
      <w:r>
        <w:rPr>
          <w:color w:val="575756"/>
        </w:rPr>
        <w:t xml:space="preserve">offer Enhanced Shared </w:t>
      </w:r>
      <w:r>
        <w:rPr>
          <w:color w:val="575756"/>
          <w:spacing w:val="-3"/>
        </w:rPr>
        <w:t xml:space="preserve">Parental Leave to employed </w:t>
      </w:r>
      <w:r>
        <w:rPr>
          <w:color w:val="575756"/>
        </w:rPr>
        <w:t xml:space="preserve">GPs, starting as soon as possible in </w:t>
      </w:r>
      <w:r>
        <w:rPr>
          <w:color w:val="575756"/>
          <w:spacing w:val="-7"/>
        </w:rPr>
        <w:t xml:space="preserve">2021/22. </w:t>
      </w:r>
      <w:r>
        <w:rPr>
          <w:color w:val="575756"/>
        </w:rPr>
        <w:t xml:space="preserve">By </w:t>
      </w:r>
      <w:r>
        <w:rPr>
          <w:color w:val="575756"/>
          <w:spacing w:val="-3"/>
        </w:rPr>
        <w:t xml:space="preserve">promoting </w:t>
      </w:r>
      <w:r>
        <w:rPr>
          <w:color w:val="575756"/>
        </w:rPr>
        <w:t>and offering Enhanced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Shared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Parental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3"/>
        </w:rPr>
        <w:t>leave,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parents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able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split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caring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burden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between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them,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rather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than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it</w:t>
      </w:r>
      <w:r>
        <w:rPr>
          <w:color w:val="575756"/>
          <w:spacing w:val="-13"/>
        </w:rPr>
        <w:t xml:space="preserve"> </w:t>
      </w:r>
      <w:proofErr w:type="gramStart"/>
      <w:r>
        <w:rPr>
          <w:color w:val="575756"/>
        </w:rPr>
        <w:t>falling</w:t>
      </w:r>
      <w:proofErr w:type="gramEnd"/>
      <w:r>
        <w:rPr>
          <w:color w:val="575756"/>
          <w:spacing w:val="-14"/>
        </w:rPr>
        <w:t xml:space="preserve"> </w:t>
      </w:r>
      <w:r>
        <w:rPr>
          <w:color w:val="575756"/>
        </w:rPr>
        <w:t>heavily on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women,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turn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reduce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negative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impact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on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4"/>
        </w:rPr>
        <w:t>women’s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lifetime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earning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potential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career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progression.</w:t>
      </w:r>
    </w:p>
    <w:p w14:paraId="7B9F65C6" w14:textId="77777777" w:rsidR="00E56372" w:rsidRDefault="00E56372">
      <w:pPr>
        <w:pStyle w:val="BodyText"/>
        <w:spacing w:before="5"/>
      </w:pPr>
    </w:p>
    <w:p w14:paraId="2D1053B1" w14:textId="77777777" w:rsidR="00E56372" w:rsidRDefault="00416B8C">
      <w:pPr>
        <w:pStyle w:val="BodyText"/>
        <w:spacing w:line="244" w:lineRule="auto"/>
        <w:ind w:left="113"/>
      </w:pPr>
      <w:r>
        <w:rPr>
          <w:color w:val="575756"/>
        </w:rPr>
        <w:t>Enhanced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shared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parental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leave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5"/>
        </w:rPr>
        <w:t>pay,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equal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enhanced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maternity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leave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5"/>
        </w:rPr>
        <w:t>pay,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has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already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been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offered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 xml:space="preserve">Junior </w:t>
      </w:r>
      <w:r>
        <w:rPr>
          <w:color w:val="575756"/>
        </w:rPr>
        <w:t>Doctors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staff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on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Agenda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for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Change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contracts,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so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these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changes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bring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Salaried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GPs’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entitlements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line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with those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colleagues.</w:t>
      </w:r>
    </w:p>
    <w:p w14:paraId="66678364" w14:textId="77777777" w:rsidR="00E56372" w:rsidRDefault="00E56372">
      <w:pPr>
        <w:pStyle w:val="BodyText"/>
        <w:spacing w:before="5"/>
      </w:pPr>
    </w:p>
    <w:p w14:paraId="2C288838" w14:textId="77777777" w:rsidR="00E56372" w:rsidRDefault="00416B8C">
      <w:pPr>
        <w:pStyle w:val="BodyText"/>
        <w:spacing w:before="1" w:line="244" w:lineRule="auto"/>
        <w:ind w:left="113" w:right="762"/>
      </w:pPr>
      <w:r>
        <w:rPr>
          <w:color w:val="575756"/>
          <w:spacing w:val="-3"/>
        </w:rPr>
        <w:t>Consequently,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enhanced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2"/>
        </w:rPr>
        <w:t>SPL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pay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entitlement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for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those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would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meet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eligibility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criteria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for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statutory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SPL,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is as</w:t>
      </w:r>
      <w:r>
        <w:rPr>
          <w:color w:val="575756"/>
          <w:spacing w:val="-8"/>
        </w:rPr>
        <w:t xml:space="preserve"> </w:t>
      </w:r>
      <w:r>
        <w:rPr>
          <w:color w:val="575756"/>
          <w:spacing w:val="-3"/>
        </w:rPr>
        <w:t>follows:</w:t>
      </w:r>
    </w:p>
    <w:p w14:paraId="29FE8D9C" w14:textId="77777777" w:rsidR="00E56372" w:rsidRDefault="00E56372">
      <w:pPr>
        <w:pStyle w:val="BodyText"/>
        <w:spacing w:before="4"/>
      </w:pPr>
    </w:p>
    <w:p w14:paraId="258B552B" w14:textId="77777777" w:rsidR="00E56372" w:rsidRDefault="00416B8C">
      <w:pPr>
        <w:pStyle w:val="ListParagraph"/>
        <w:numPr>
          <w:ilvl w:val="0"/>
          <w:numId w:val="1"/>
        </w:numPr>
        <w:tabs>
          <w:tab w:val="left" w:pos="257"/>
        </w:tabs>
        <w:spacing w:before="1"/>
        <w:ind w:hanging="144"/>
        <w:rPr>
          <w:sz w:val="20"/>
        </w:rPr>
      </w:pPr>
      <w:r>
        <w:rPr>
          <w:color w:val="575756"/>
          <w:sz w:val="20"/>
        </w:rPr>
        <w:t>6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weeks’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full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pacing w:val="-3"/>
          <w:sz w:val="20"/>
        </w:rPr>
        <w:t>pay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pacing w:val="-3"/>
          <w:sz w:val="20"/>
        </w:rPr>
        <w:t>including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statutory</w:t>
      </w:r>
      <w:r>
        <w:rPr>
          <w:color w:val="575756"/>
          <w:spacing w:val="-8"/>
          <w:sz w:val="20"/>
        </w:rPr>
        <w:t xml:space="preserve"> </w:t>
      </w:r>
      <w:proofErr w:type="gramStart"/>
      <w:r>
        <w:rPr>
          <w:color w:val="575756"/>
          <w:sz w:val="20"/>
        </w:rPr>
        <w:t>pay;</w:t>
      </w:r>
      <w:proofErr w:type="gramEnd"/>
    </w:p>
    <w:p w14:paraId="6D4F0EA3" w14:textId="77777777" w:rsidR="00E56372" w:rsidRDefault="00416B8C">
      <w:pPr>
        <w:pStyle w:val="ListParagraph"/>
        <w:numPr>
          <w:ilvl w:val="0"/>
          <w:numId w:val="1"/>
        </w:numPr>
        <w:tabs>
          <w:tab w:val="left" w:pos="257"/>
        </w:tabs>
        <w:spacing w:before="4"/>
        <w:ind w:hanging="144"/>
        <w:rPr>
          <w:sz w:val="20"/>
        </w:rPr>
      </w:pPr>
      <w:r>
        <w:rPr>
          <w:color w:val="575756"/>
          <w:spacing w:val="-7"/>
          <w:sz w:val="20"/>
        </w:rPr>
        <w:t>18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weeks’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half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pacing w:val="-3"/>
          <w:sz w:val="20"/>
        </w:rPr>
        <w:t>pay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plus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statutory</w:t>
      </w:r>
      <w:r>
        <w:rPr>
          <w:color w:val="575756"/>
          <w:spacing w:val="-9"/>
          <w:sz w:val="20"/>
        </w:rPr>
        <w:t xml:space="preserve"> </w:t>
      </w:r>
      <w:proofErr w:type="gramStart"/>
      <w:r>
        <w:rPr>
          <w:color w:val="575756"/>
          <w:sz w:val="20"/>
        </w:rPr>
        <w:t>pay;</w:t>
      </w:r>
      <w:proofErr w:type="gramEnd"/>
    </w:p>
    <w:p w14:paraId="0CF17004" w14:textId="7B008795" w:rsidR="00E56372" w:rsidRDefault="00416B8C">
      <w:pPr>
        <w:pStyle w:val="ListParagraph"/>
        <w:numPr>
          <w:ilvl w:val="0"/>
          <w:numId w:val="1"/>
        </w:numPr>
        <w:tabs>
          <w:tab w:val="left" w:pos="257"/>
        </w:tabs>
        <w:ind w:hanging="144"/>
        <w:rPr>
          <w:sz w:val="20"/>
        </w:rPr>
      </w:pPr>
      <w:r>
        <w:rPr>
          <w:color w:val="575756"/>
          <w:sz w:val="20"/>
        </w:rPr>
        <w:t>13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weeks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at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statutory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pay;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and</w:t>
      </w:r>
    </w:p>
    <w:p w14:paraId="2562F30A" w14:textId="77777777" w:rsidR="00E56372" w:rsidRDefault="00416B8C">
      <w:pPr>
        <w:pStyle w:val="ListParagraph"/>
        <w:numPr>
          <w:ilvl w:val="0"/>
          <w:numId w:val="1"/>
        </w:numPr>
        <w:tabs>
          <w:tab w:val="left" w:pos="257"/>
        </w:tabs>
        <w:ind w:hanging="144"/>
        <w:rPr>
          <w:sz w:val="20"/>
        </w:rPr>
      </w:pPr>
      <w:r>
        <w:rPr>
          <w:color w:val="575756"/>
          <w:spacing w:val="-8"/>
          <w:sz w:val="20"/>
        </w:rPr>
        <w:t xml:space="preserve">13 </w:t>
      </w:r>
      <w:r>
        <w:rPr>
          <w:color w:val="575756"/>
          <w:sz w:val="20"/>
        </w:rPr>
        <w:t>weeks that are</w:t>
      </w:r>
      <w:r>
        <w:rPr>
          <w:color w:val="575756"/>
          <w:spacing w:val="-25"/>
          <w:sz w:val="20"/>
        </w:rPr>
        <w:t xml:space="preserve"> </w:t>
      </w:r>
      <w:r>
        <w:rPr>
          <w:color w:val="575756"/>
          <w:spacing w:val="-3"/>
          <w:sz w:val="20"/>
        </w:rPr>
        <w:t>unpaid</w:t>
      </w:r>
    </w:p>
    <w:p w14:paraId="60129934" w14:textId="77777777" w:rsidR="00E56372" w:rsidRDefault="00E56372">
      <w:pPr>
        <w:pStyle w:val="BodyText"/>
        <w:spacing w:before="9"/>
      </w:pPr>
    </w:p>
    <w:p w14:paraId="448C402C" w14:textId="77777777" w:rsidR="00E56372" w:rsidRDefault="00416B8C">
      <w:pPr>
        <w:pStyle w:val="BodyText"/>
        <w:spacing w:before="1"/>
        <w:ind w:left="113"/>
      </w:pPr>
      <w:r>
        <w:rPr>
          <w:color w:val="575756"/>
        </w:rPr>
        <w:t>Practices should be able to claim back locum cover costs, as for maternity cover, in the same way according to the SFE.</w:t>
      </w:r>
    </w:p>
    <w:p w14:paraId="5386C17C" w14:textId="77777777" w:rsidR="00E56372" w:rsidRDefault="00E56372">
      <w:pPr>
        <w:pStyle w:val="BodyText"/>
        <w:spacing w:before="9"/>
      </w:pPr>
    </w:p>
    <w:p w14:paraId="73B9824B" w14:textId="77777777" w:rsidR="00E56372" w:rsidRDefault="00416B8C">
      <w:pPr>
        <w:pStyle w:val="BodyText"/>
        <w:spacing w:line="244" w:lineRule="auto"/>
        <w:ind w:left="113"/>
      </w:pPr>
      <w:r>
        <w:rPr>
          <w:color w:val="575756"/>
          <w:spacing w:val="-3"/>
        </w:rPr>
        <w:t>More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details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on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entitlement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eligibility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criteria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are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set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out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Salaried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GP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handbook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which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has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been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updated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 xml:space="preserve">to </w:t>
      </w:r>
      <w:r>
        <w:rPr>
          <w:color w:val="575756"/>
        </w:rPr>
        <w:t>include the new</w:t>
      </w:r>
      <w:r>
        <w:rPr>
          <w:color w:val="575756"/>
          <w:spacing w:val="-26"/>
        </w:rPr>
        <w:t xml:space="preserve"> </w:t>
      </w:r>
      <w:r>
        <w:rPr>
          <w:color w:val="575756"/>
        </w:rPr>
        <w:t>entitlement.</w:t>
      </w:r>
    </w:p>
    <w:p w14:paraId="2EC865B1" w14:textId="77777777" w:rsidR="00E56372" w:rsidRDefault="00E56372">
      <w:pPr>
        <w:pStyle w:val="BodyText"/>
        <w:spacing w:before="5"/>
      </w:pPr>
    </w:p>
    <w:p w14:paraId="58F20740" w14:textId="77777777" w:rsidR="00E56372" w:rsidRDefault="00416B8C">
      <w:pPr>
        <w:pStyle w:val="BodyText"/>
        <w:spacing w:line="244" w:lineRule="auto"/>
        <w:ind w:left="113"/>
      </w:pPr>
      <w:r>
        <w:rPr>
          <w:color w:val="575756"/>
          <w:spacing w:val="-4"/>
        </w:rPr>
        <w:t>However,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these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enhanced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2"/>
        </w:rPr>
        <w:t>SPL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provisions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do</w:t>
      </w:r>
      <w:r>
        <w:rPr>
          <w:color w:val="575756"/>
          <w:spacing w:val="-10"/>
        </w:rPr>
        <w:t xml:space="preserve"> </w:t>
      </w:r>
      <w:r>
        <w:rPr>
          <w:color w:val="575756"/>
          <w:spacing w:val="-3"/>
        </w:rPr>
        <w:t>not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automatically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apply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salaried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GPs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-3"/>
        </w:rPr>
        <w:t>employed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under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model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contract. The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BMA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has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produced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attached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‘side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letter’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which,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once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signed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by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both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3"/>
        </w:rPr>
        <w:t>employee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2"/>
        </w:rPr>
        <w:t xml:space="preserve"> </w:t>
      </w:r>
      <w:r>
        <w:rPr>
          <w:color w:val="575756"/>
          <w:spacing w:val="-4"/>
        </w:rPr>
        <w:t>employer,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act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contract variation</w:t>
      </w:r>
      <w:r>
        <w:rPr>
          <w:color w:val="575756"/>
          <w:spacing w:val="-14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give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salaried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GP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access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enhanced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2"/>
        </w:rPr>
        <w:t>SPL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terms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conditions.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GPC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has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also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3"/>
        </w:rPr>
        <w:t>produced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3"/>
        </w:rPr>
        <w:t>guidance</w:t>
      </w:r>
      <w:r>
        <w:rPr>
          <w:color w:val="575756"/>
          <w:spacing w:val="-13"/>
        </w:rPr>
        <w:t xml:space="preserve"> </w:t>
      </w:r>
      <w:r>
        <w:rPr>
          <w:color w:val="575756"/>
          <w:spacing w:val="-3"/>
        </w:rPr>
        <w:t>for</w:t>
      </w:r>
      <w:r>
        <w:rPr>
          <w:color w:val="575756"/>
          <w:spacing w:val="-13"/>
        </w:rPr>
        <w:t xml:space="preserve"> </w:t>
      </w:r>
      <w:r>
        <w:rPr>
          <w:color w:val="575756"/>
        </w:rPr>
        <w:t>GP partners</w:t>
      </w:r>
      <w:r>
        <w:rPr>
          <w:color w:val="575756"/>
          <w:spacing w:val="-9"/>
        </w:rPr>
        <w:t xml:space="preserve"> </w:t>
      </w:r>
      <w:r>
        <w:rPr>
          <w:color w:val="575756"/>
          <w:spacing w:val="-3"/>
        </w:rPr>
        <w:t>to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clarify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what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means</w:t>
      </w:r>
      <w:r>
        <w:rPr>
          <w:color w:val="575756"/>
          <w:spacing w:val="-8"/>
        </w:rPr>
        <w:t xml:space="preserve"> </w:t>
      </w:r>
      <w:r>
        <w:rPr>
          <w:color w:val="575756"/>
          <w:spacing w:val="-3"/>
        </w:rPr>
        <w:t>for</w:t>
      </w:r>
      <w:r>
        <w:rPr>
          <w:color w:val="575756"/>
          <w:spacing w:val="-8"/>
        </w:rPr>
        <w:t xml:space="preserve"> </w:t>
      </w:r>
      <w:r>
        <w:rPr>
          <w:color w:val="575756"/>
          <w:spacing w:val="-3"/>
        </w:rPr>
        <w:t>you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as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an</w:t>
      </w:r>
      <w:r>
        <w:rPr>
          <w:color w:val="575756"/>
          <w:spacing w:val="-8"/>
        </w:rPr>
        <w:t xml:space="preserve"> </w:t>
      </w:r>
      <w:r>
        <w:rPr>
          <w:color w:val="575756"/>
          <w:spacing w:val="-3"/>
        </w:rPr>
        <w:t>employer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terms.</w:t>
      </w:r>
    </w:p>
    <w:p w14:paraId="580CF4D2" w14:textId="77777777" w:rsidR="00E56372" w:rsidRDefault="00E56372">
      <w:pPr>
        <w:pStyle w:val="BodyText"/>
        <w:spacing w:before="5"/>
      </w:pPr>
    </w:p>
    <w:p w14:paraId="0418FC93" w14:textId="77777777" w:rsidR="00E56372" w:rsidRDefault="00416B8C">
      <w:pPr>
        <w:pStyle w:val="BodyText"/>
        <w:spacing w:line="489" w:lineRule="auto"/>
        <w:ind w:left="113" w:right="8436"/>
      </w:pPr>
      <w:r>
        <w:rPr>
          <w:color w:val="575756"/>
        </w:rPr>
        <w:t>Yours sincerely, [SIGNATURE] [NAME]</w:t>
      </w:r>
    </w:p>
    <w:sectPr w:rsidR="00E56372">
      <w:type w:val="continuous"/>
      <w:pgSz w:w="11910" w:h="16840"/>
      <w:pgMar w:top="9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terFace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0732A"/>
    <w:multiLevelType w:val="hybridMultilevel"/>
    <w:tmpl w:val="CAE8AA52"/>
    <w:lvl w:ilvl="0" w:tplc="8EE6AB50">
      <w:numFmt w:val="bullet"/>
      <w:lvlText w:val="–"/>
      <w:lvlJc w:val="left"/>
      <w:pPr>
        <w:ind w:left="256" w:hanging="143"/>
      </w:pPr>
      <w:rPr>
        <w:rFonts w:ascii="InterFace" w:eastAsia="InterFace" w:hAnsi="InterFace" w:cs="InterFace" w:hint="default"/>
        <w:color w:val="575756"/>
        <w:w w:val="100"/>
        <w:sz w:val="20"/>
        <w:szCs w:val="20"/>
        <w:lang w:val="en-GB" w:eastAsia="en-US" w:bidi="ar-SA"/>
      </w:rPr>
    </w:lvl>
    <w:lvl w:ilvl="1" w:tplc="8D3E2ED8">
      <w:numFmt w:val="bullet"/>
      <w:lvlText w:val="•"/>
      <w:lvlJc w:val="left"/>
      <w:pPr>
        <w:ind w:left="1218" w:hanging="143"/>
      </w:pPr>
      <w:rPr>
        <w:rFonts w:hint="default"/>
        <w:lang w:val="en-GB" w:eastAsia="en-US" w:bidi="ar-SA"/>
      </w:rPr>
    </w:lvl>
    <w:lvl w:ilvl="2" w:tplc="674AE88A">
      <w:numFmt w:val="bullet"/>
      <w:lvlText w:val="•"/>
      <w:lvlJc w:val="left"/>
      <w:pPr>
        <w:ind w:left="2177" w:hanging="143"/>
      </w:pPr>
      <w:rPr>
        <w:rFonts w:hint="default"/>
        <w:lang w:val="en-GB" w:eastAsia="en-US" w:bidi="ar-SA"/>
      </w:rPr>
    </w:lvl>
    <w:lvl w:ilvl="3" w:tplc="BCF822CC">
      <w:numFmt w:val="bullet"/>
      <w:lvlText w:val="•"/>
      <w:lvlJc w:val="left"/>
      <w:pPr>
        <w:ind w:left="3135" w:hanging="143"/>
      </w:pPr>
      <w:rPr>
        <w:rFonts w:hint="default"/>
        <w:lang w:val="en-GB" w:eastAsia="en-US" w:bidi="ar-SA"/>
      </w:rPr>
    </w:lvl>
    <w:lvl w:ilvl="4" w:tplc="7146E6D6">
      <w:numFmt w:val="bullet"/>
      <w:lvlText w:val="•"/>
      <w:lvlJc w:val="left"/>
      <w:pPr>
        <w:ind w:left="4094" w:hanging="143"/>
      </w:pPr>
      <w:rPr>
        <w:rFonts w:hint="default"/>
        <w:lang w:val="en-GB" w:eastAsia="en-US" w:bidi="ar-SA"/>
      </w:rPr>
    </w:lvl>
    <w:lvl w:ilvl="5" w:tplc="39D87464">
      <w:numFmt w:val="bullet"/>
      <w:lvlText w:val="•"/>
      <w:lvlJc w:val="left"/>
      <w:pPr>
        <w:ind w:left="5052" w:hanging="143"/>
      </w:pPr>
      <w:rPr>
        <w:rFonts w:hint="default"/>
        <w:lang w:val="en-GB" w:eastAsia="en-US" w:bidi="ar-SA"/>
      </w:rPr>
    </w:lvl>
    <w:lvl w:ilvl="6" w:tplc="B8F66F1C">
      <w:numFmt w:val="bullet"/>
      <w:lvlText w:val="•"/>
      <w:lvlJc w:val="left"/>
      <w:pPr>
        <w:ind w:left="6011" w:hanging="143"/>
      </w:pPr>
      <w:rPr>
        <w:rFonts w:hint="default"/>
        <w:lang w:val="en-GB" w:eastAsia="en-US" w:bidi="ar-SA"/>
      </w:rPr>
    </w:lvl>
    <w:lvl w:ilvl="7" w:tplc="E370BDC2">
      <w:numFmt w:val="bullet"/>
      <w:lvlText w:val="•"/>
      <w:lvlJc w:val="left"/>
      <w:pPr>
        <w:ind w:left="6969" w:hanging="143"/>
      </w:pPr>
      <w:rPr>
        <w:rFonts w:hint="default"/>
        <w:lang w:val="en-GB" w:eastAsia="en-US" w:bidi="ar-SA"/>
      </w:rPr>
    </w:lvl>
    <w:lvl w:ilvl="8" w:tplc="66B6DF50">
      <w:numFmt w:val="bullet"/>
      <w:lvlText w:val="•"/>
      <w:lvlJc w:val="left"/>
      <w:pPr>
        <w:ind w:left="7928" w:hanging="143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372"/>
    <w:rsid w:val="00416B8C"/>
    <w:rsid w:val="005A1462"/>
    <w:rsid w:val="00E5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C61"/>
  <w15:docId w15:val="{7357F232-9D90-4DE0-BABF-1D64EDBF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113" w:right="172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5"/>
      <w:ind w:left="256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1FFE90D4B5B4D8941B008C7747B77" ma:contentTypeVersion="11" ma:contentTypeDescription="Create a new document." ma:contentTypeScope="" ma:versionID="bf9847a30d6051ac5082eacc65aa518f">
  <xsd:schema xmlns:xsd="http://www.w3.org/2001/XMLSchema" xmlns:xs="http://www.w3.org/2001/XMLSchema" xmlns:p="http://schemas.microsoft.com/office/2006/metadata/properties" xmlns:ns2="cc9294ba-3e83-4d52-8dd5-4bc077fce7ae" xmlns:ns3="c2efe0ad-e471-4465-94ab-c832b74aba9b" targetNamespace="http://schemas.microsoft.com/office/2006/metadata/properties" ma:root="true" ma:fieldsID="bad65946c6c0c5641c39f553a35d6818" ns2:_="" ns3:_="">
    <xsd:import namespace="cc9294ba-3e83-4d52-8dd5-4bc077fce7ae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94ba-3e83-4d52-8dd5-4bc077fce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885B9-0353-4951-B5F0-59CB597A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294ba-3e83-4d52-8dd5-4bc077fce7ae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6ED09-8451-4DCE-9048-2B85588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897CD-0B40-43F0-A408-C6F4AAE0E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Mehlmann-Wicks</cp:lastModifiedBy>
  <cp:revision>2</cp:revision>
  <dcterms:created xsi:type="dcterms:W3CDTF">2021-12-07T11:49:00Z</dcterms:created>
  <dcterms:modified xsi:type="dcterms:W3CDTF">2021-12-07T11:49:00Z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0x0101002A21FFE90D4B5B4D8941B008C7747B77</vt:lpwstr>
  </property>
</Properties>
</file>