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F559" w14:textId="77777777" w:rsidR="00DA6514" w:rsidRDefault="00DA6514" w:rsidP="00DA6514">
      <w:pPr>
        <w:ind w:left="-270"/>
        <w:jc w:val="right"/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</w:pPr>
      <w:r>
        <w:rPr>
          <w:rFonts w:asciiTheme="minorHAnsi" w:eastAsia="Calibri" w:hAnsiTheme="minorHAnsi" w:cstheme="minorHAnsi"/>
          <w:b/>
          <w:noProof/>
          <w:color w:val="7030A0"/>
          <w:kern w:val="24"/>
          <w:sz w:val="40"/>
          <w:szCs w:val="40"/>
          <w:lang w:val="en-GB" w:eastAsia="en-GB"/>
        </w:rPr>
        <w:drawing>
          <wp:inline distT="0" distB="0" distL="0" distR="0" wp14:anchorId="79C60468" wp14:editId="651E95B6">
            <wp:extent cx="1347982" cy="492573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85" cy="49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95BB0" w14:textId="77777777" w:rsidR="00DA6514" w:rsidRDefault="00DA6514" w:rsidP="00DA6514">
      <w:pPr>
        <w:ind w:left="-270"/>
        <w:jc w:val="right"/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</w:pPr>
    </w:p>
    <w:p w14:paraId="688405D4" w14:textId="77777777" w:rsidR="00DA6514" w:rsidRDefault="00DA6514" w:rsidP="00DA6514">
      <w:pPr>
        <w:ind w:left="-270"/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</w:pPr>
    </w:p>
    <w:p w14:paraId="1DCB6624" w14:textId="7F8BCB3F" w:rsidR="00DA6514" w:rsidRPr="00DA6514" w:rsidRDefault="00DA6514" w:rsidP="00AF0880">
      <w:pPr>
        <w:ind w:left="-270"/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</w:pPr>
      <w:r w:rsidRPr="00DA6514"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  <w:t>BMA Giving</w:t>
      </w:r>
      <w:r w:rsidR="00AF0880"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  <w:t xml:space="preserve"> (c</w:t>
      </w:r>
      <w:r w:rsidRPr="00DA6514"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  <w:t>haritable purposes subcommittee</w:t>
      </w:r>
      <w:r w:rsidR="00AF0880"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  <w:t>)</w:t>
      </w:r>
      <w:r w:rsidRPr="00DA6514">
        <w:rPr>
          <w:rFonts w:asciiTheme="minorHAnsi" w:eastAsia="Calibri" w:hAnsiTheme="minorHAnsi" w:cstheme="minorHAnsi"/>
          <w:b/>
          <w:color w:val="7030A0"/>
          <w:kern w:val="24"/>
          <w:sz w:val="40"/>
          <w:szCs w:val="40"/>
        </w:rPr>
        <w:t xml:space="preserve"> </w:t>
      </w:r>
    </w:p>
    <w:p w14:paraId="1F1A2A27" w14:textId="77777777" w:rsidR="00DA6514" w:rsidRDefault="00DA6514" w:rsidP="00DA6514">
      <w:pPr>
        <w:ind w:left="-270"/>
        <w:rPr>
          <w:rFonts w:ascii="Calibri" w:eastAsia="Calibri" w:hAnsi="Calibri" w:cs="Calibri"/>
          <w:color w:val="7030A0"/>
          <w:position w:val="1"/>
          <w:sz w:val="40"/>
          <w:szCs w:val="40"/>
        </w:rPr>
      </w:pPr>
      <w:r w:rsidRPr="00DA6514">
        <w:rPr>
          <w:rFonts w:ascii="Calibri" w:eastAsia="Calibri" w:hAnsi="Calibri" w:cs="Calibri"/>
          <w:color w:val="7030A0"/>
          <w:spacing w:val="4"/>
          <w:position w:val="1"/>
          <w:sz w:val="40"/>
          <w:szCs w:val="40"/>
        </w:rPr>
        <w:t>Ro</w:t>
      </w:r>
      <w:r w:rsidRPr="00DA6514">
        <w:rPr>
          <w:rFonts w:ascii="Calibri" w:eastAsia="Calibri" w:hAnsi="Calibri" w:cs="Calibri"/>
          <w:color w:val="7030A0"/>
          <w:spacing w:val="5"/>
          <w:position w:val="1"/>
          <w:sz w:val="40"/>
          <w:szCs w:val="40"/>
        </w:rPr>
        <w:t>l</w:t>
      </w:r>
      <w:r w:rsidRPr="00DA6514">
        <w:rPr>
          <w:rFonts w:ascii="Calibri" w:eastAsia="Calibri" w:hAnsi="Calibri" w:cs="Calibri"/>
          <w:color w:val="7030A0"/>
          <w:position w:val="1"/>
          <w:sz w:val="40"/>
          <w:szCs w:val="40"/>
        </w:rPr>
        <w:t>e</w:t>
      </w:r>
      <w:r w:rsidRPr="00DA6514">
        <w:rPr>
          <w:rFonts w:ascii="Calibri" w:eastAsia="Calibri" w:hAnsi="Calibri" w:cs="Calibri"/>
          <w:color w:val="7030A0"/>
          <w:spacing w:val="9"/>
          <w:position w:val="1"/>
          <w:sz w:val="40"/>
          <w:szCs w:val="40"/>
        </w:rPr>
        <w:t xml:space="preserve"> </w:t>
      </w:r>
      <w:r w:rsidRPr="00DA6514">
        <w:rPr>
          <w:rFonts w:ascii="Calibri" w:eastAsia="Calibri" w:hAnsi="Calibri" w:cs="Calibri"/>
          <w:color w:val="7030A0"/>
          <w:spacing w:val="2"/>
          <w:position w:val="1"/>
          <w:sz w:val="40"/>
          <w:szCs w:val="40"/>
        </w:rPr>
        <w:t>p</w:t>
      </w:r>
      <w:r w:rsidRPr="00DA6514">
        <w:rPr>
          <w:rFonts w:ascii="Calibri" w:eastAsia="Calibri" w:hAnsi="Calibri" w:cs="Calibri"/>
          <w:color w:val="7030A0"/>
          <w:spacing w:val="-2"/>
          <w:position w:val="1"/>
          <w:sz w:val="40"/>
          <w:szCs w:val="40"/>
        </w:rPr>
        <w:t>r</w:t>
      </w:r>
      <w:r w:rsidRPr="00DA6514">
        <w:rPr>
          <w:rFonts w:ascii="Calibri" w:eastAsia="Calibri" w:hAnsi="Calibri" w:cs="Calibri"/>
          <w:color w:val="7030A0"/>
          <w:spacing w:val="4"/>
          <w:position w:val="1"/>
          <w:sz w:val="40"/>
          <w:szCs w:val="40"/>
        </w:rPr>
        <w:t>of</w:t>
      </w:r>
      <w:r w:rsidRPr="00DA6514">
        <w:rPr>
          <w:rFonts w:ascii="Calibri" w:eastAsia="Calibri" w:hAnsi="Calibri" w:cs="Calibri"/>
          <w:color w:val="7030A0"/>
          <w:spacing w:val="5"/>
          <w:position w:val="1"/>
          <w:sz w:val="40"/>
          <w:szCs w:val="40"/>
        </w:rPr>
        <w:t>il</w:t>
      </w:r>
      <w:r w:rsidRPr="00DA6514">
        <w:rPr>
          <w:rFonts w:ascii="Calibri" w:eastAsia="Calibri" w:hAnsi="Calibri" w:cs="Calibri"/>
          <w:color w:val="7030A0"/>
          <w:position w:val="1"/>
          <w:sz w:val="40"/>
          <w:szCs w:val="40"/>
        </w:rPr>
        <w:t>e</w:t>
      </w:r>
    </w:p>
    <w:p w14:paraId="4644C238" w14:textId="307AD586" w:rsidR="00DA6514" w:rsidRPr="00DA6514" w:rsidRDefault="00DA6514" w:rsidP="00BD6F40">
      <w:pPr>
        <w:ind w:left="-270"/>
        <w:rPr>
          <w:rFonts w:ascii="Calibri" w:eastAsia="Calibri" w:hAnsi="Calibri" w:cs="Calibri"/>
          <w:color w:val="7030A0"/>
          <w:position w:val="1"/>
          <w:sz w:val="40"/>
          <w:szCs w:val="40"/>
        </w:rPr>
      </w:pPr>
    </w:p>
    <w:tbl>
      <w:tblPr>
        <w:tblpPr w:leftFromText="180" w:rightFromText="180" w:vertAnchor="text" w:horzAnchor="page" w:tblpX="1457" w:tblpY="308"/>
        <w:tblW w:w="9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386"/>
      </w:tblGrid>
      <w:tr w:rsidR="00DA6514" w:rsidRPr="003E7B2D" w14:paraId="4F15B5B2" w14:textId="77777777" w:rsidTr="00DA6514">
        <w:trPr>
          <w:trHeight w:hRule="exact" w:val="458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75D5"/>
          </w:tcPr>
          <w:p w14:paraId="3CACDFE2" w14:textId="77777777" w:rsidR="00DA6514" w:rsidRPr="003E7B2D" w:rsidRDefault="00DA6514" w:rsidP="00DA6514">
            <w:pPr>
              <w:rPr>
                <w:sz w:val="24"/>
                <w:szCs w:val="24"/>
              </w:rPr>
            </w:pPr>
          </w:p>
        </w:tc>
      </w:tr>
      <w:tr w:rsidR="00DA6514" w:rsidRPr="003E7B2D" w14:paraId="556B3C1D" w14:textId="77777777" w:rsidTr="00DA6514">
        <w:trPr>
          <w:trHeight w:hRule="exact" w:val="89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AEB"/>
          </w:tcPr>
          <w:p w14:paraId="0EE84A47" w14:textId="77777777" w:rsidR="00DA6514" w:rsidRPr="003E7B2D" w:rsidRDefault="00DA6514" w:rsidP="00DA6514">
            <w:pPr>
              <w:spacing w:before="87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 w:rsidRPr="003E7B2D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3E7B2D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3E7B2D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 w:rsidRPr="003E7B2D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3E7B2D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3E7B2D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3E7B2D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3E7B2D">
              <w:rPr>
                <w:rFonts w:ascii="Calibri" w:eastAsia="Calibri" w:hAnsi="Calibri" w:cs="Calibri"/>
                <w:b/>
                <w:sz w:val="24"/>
                <w:szCs w:val="24"/>
              </w:rPr>
              <w:t>tle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CC1" w14:textId="14E0FCA4" w:rsidR="00DA6514" w:rsidRPr="003E7B2D" w:rsidRDefault="00DA6514" w:rsidP="00DA6514">
            <w:pPr>
              <w:spacing w:before="63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BMA Giving </w:t>
            </w:r>
            <w:r w:rsidR="00AF0880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A85109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haritable purposes subcommittee</w:t>
            </w:r>
            <w:r w:rsidR="00E13AD2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member</w:t>
            </w:r>
          </w:p>
        </w:tc>
      </w:tr>
      <w:tr w:rsidR="00DA6514" w:rsidRPr="003E7B2D" w14:paraId="12165B2F" w14:textId="77777777" w:rsidTr="00DA6514">
        <w:trPr>
          <w:trHeight w:hRule="exact" w:val="54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AEB"/>
          </w:tcPr>
          <w:p w14:paraId="0DEE00A0" w14:textId="77777777" w:rsidR="00DA6514" w:rsidRPr="003E7B2D" w:rsidRDefault="00DA6514" w:rsidP="00DA6514">
            <w:pPr>
              <w:spacing w:before="87"/>
              <w:ind w:left="10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3E7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erm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221" w14:textId="6EBE8F07" w:rsidR="00DA6514" w:rsidRPr="003E7B2D" w:rsidRDefault="00DA6514" w:rsidP="00DA6514">
            <w:pPr>
              <w:spacing w:before="63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 w:rsidRPr="000636A9">
              <w:rPr>
                <w:rFonts w:ascii="Calibri" w:eastAsia="Calibri" w:hAnsi="Calibri" w:cs="Calibri"/>
                <w:sz w:val="24"/>
                <w:szCs w:val="24"/>
              </w:rPr>
              <w:t xml:space="preserve">One BMA session </w:t>
            </w:r>
          </w:p>
        </w:tc>
      </w:tr>
    </w:tbl>
    <w:p w14:paraId="6A669081" w14:textId="1D0FB6BA" w:rsidR="00BD6F40" w:rsidRDefault="00BD6F40" w:rsidP="008F7559"/>
    <w:p w14:paraId="662F2521" w14:textId="0470CA20" w:rsidR="008F7559" w:rsidRDefault="008F7559" w:rsidP="00BD6F40"/>
    <w:p w14:paraId="1AA49DA1" w14:textId="63DEDD80" w:rsidR="008F7559" w:rsidRDefault="008F7559" w:rsidP="00BD6F40"/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8F7559" w:rsidRPr="003E7B2D" w14:paraId="4564D63F" w14:textId="77777777" w:rsidTr="00DA6514">
        <w:tc>
          <w:tcPr>
            <w:tcW w:w="9356" w:type="dxa"/>
            <w:shd w:val="clear" w:color="auto" w:fill="AC75D5"/>
          </w:tcPr>
          <w:p w14:paraId="54FC1FAF" w14:textId="77777777" w:rsidR="008F7559" w:rsidRPr="003E7B2D" w:rsidRDefault="008F7559" w:rsidP="00BC2AA4">
            <w:pPr>
              <w:spacing w:before="19" w:line="240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281DB443">
              <w:rPr>
                <w:rFonts w:asciiTheme="minorHAnsi" w:eastAsiaTheme="minorEastAsia" w:hAnsiTheme="minorHAnsi" w:cstheme="minorBidi"/>
                <w:b/>
                <w:color w:val="FFFFFF"/>
                <w:spacing w:val="-1"/>
                <w:sz w:val="24"/>
                <w:szCs w:val="24"/>
              </w:rPr>
              <w:t>Purpose of role / key responsibilities</w:t>
            </w:r>
          </w:p>
          <w:p w14:paraId="67586698" w14:textId="77777777" w:rsidR="008F7559" w:rsidRPr="003E7B2D" w:rsidRDefault="008F7559" w:rsidP="00BC2AA4">
            <w:pPr>
              <w:spacing w:line="200" w:lineRule="exact"/>
              <w:rPr>
                <w:rFonts w:asciiTheme="minorHAnsi" w:hAnsiTheme="minorHAnsi"/>
                <w:color w:val="9966FF"/>
                <w:sz w:val="24"/>
                <w:szCs w:val="24"/>
              </w:rPr>
            </w:pPr>
          </w:p>
        </w:tc>
      </w:tr>
      <w:tr w:rsidR="008F7559" w:rsidRPr="003E7B2D" w14:paraId="142D38F1" w14:textId="77777777" w:rsidTr="00DA6514">
        <w:tc>
          <w:tcPr>
            <w:tcW w:w="9356" w:type="dxa"/>
            <w:shd w:val="clear" w:color="auto" w:fill="FFE599" w:themeFill="accent4" w:themeFillTint="66"/>
          </w:tcPr>
          <w:p w14:paraId="487C007C" w14:textId="77777777" w:rsidR="008F7559" w:rsidRPr="003E7B2D" w:rsidRDefault="008F7559" w:rsidP="00BC2AA4">
            <w:p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i/>
                <w:sz w:val="24"/>
                <w:szCs w:val="24"/>
              </w:rPr>
              <w:t>List the core duties of the role and any special responsibilities</w:t>
            </w:r>
          </w:p>
          <w:p w14:paraId="582B6778" w14:textId="77777777" w:rsidR="008F7559" w:rsidRPr="003E7B2D" w:rsidRDefault="008F7559" w:rsidP="00BC2A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7559" w:rsidRPr="003E7B2D" w14:paraId="3A895146" w14:textId="77777777" w:rsidTr="004D4D5A">
        <w:trPr>
          <w:trHeight w:val="4946"/>
        </w:trPr>
        <w:tc>
          <w:tcPr>
            <w:tcW w:w="9356" w:type="dxa"/>
            <w:shd w:val="clear" w:color="auto" w:fill="FFFFFF" w:themeFill="background1"/>
          </w:tcPr>
          <w:p w14:paraId="7AF912EB" w14:textId="1648DD06" w:rsidR="00365871" w:rsidRPr="00365871" w:rsidRDefault="00365871" w:rsidP="00365871">
            <w:pPr>
              <w:rPr>
                <w:rFonts w:asciiTheme="minorHAnsi" w:hAnsiTheme="minorHAnsi"/>
                <w:sz w:val="24"/>
                <w:szCs w:val="24"/>
              </w:rPr>
            </w:pPr>
            <w:r w:rsidRPr="00365871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he purpose and remit of the 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 xml:space="preserve">committee will be to: </w:t>
            </w:r>
          </w:p>
          <w:p w14:paraId="4057AC98" w14:textId="58449688" w:rsidR="00365871" w:rsidRPr="00365871" w:rsidRDefault="00365871" w:rsidP="004E3BA0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365871">
              <w:rPr>
                <w:rFonts w:asciiTheme="minorHAnsi" w:hAnsiTheme="minorHAnsi"/>
                <w:sz w:val="24"/>
                <w:szCs w:val="24"/>
              </w:rPr>
              <w:t>1.1.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ab/>
            </w:r>
            <w:r w:rsidR="00734665">
              <w:rPr>
                <w:rFonts w:asciiTheme="minorHAnsi" w:hAnsiTheme="minorHAnsi"/>
                <w:sz w:val="24"/>
                <w:szCs w:val="24"/>
              </w:rPr>
              <w:t>Deliver</w:t>
            </w:r>
            <w:r w:rsidR="00734665" w:rsidRPr="0036587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>the BMA’s charitable giving strategy.</w:t>
            </w:r>
          </w:p>
          <w:p w14:paraId="7E851A5B" w14:textId="1A97F4AB" w:rsidR="00365871" w:rsidRPr="00365871" w:rsidRDefault="00365871" w:rsidP="000636A9">
            <w:pPr>
              <w:ind w:left="1445" w:hanging="709"/>
              <w:rPr>
                <w:rFonts w:asciiTheme="minorHAnsi" w:hAnsiTheme="minorHAnsi"/>
                <w:sz w:val="24"/>
                <w:szCs w:val="24"/>
              </w:rPr>
            </w:pPr>
            <w:r w:rsidRPr="00365871">
              <w:rPr>
                <w:rFonts w:asciiTheme="minorHAnsi" w:hAnsiTheme="minorHAnsi"/>
                <w:sz w:val="24"/>
                <w:szCs w:val="24"/>
              </w:rPr>
              <w:t>1.2.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ab/>
            </w:r>
            <w:r w:rsidR="00D201C0">
              <w:rPr>
                <w:rFonts w:asciiTheme="minorHAnsi" w:hAnsiTheme="minorHAnsi"/>
                <w:sz w:val="24"/>
                <w:szCs w:val="24"/>
              </w:rPr>
              <w:t>Distribute £15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 xml:space="preserve">0,000 per year, on behalf of the finance committee, to </w:t>
            </w:r>
            <w:r w:rsidR="006B3604">
              <w:rPr>
                <w:rFonts w:asciiTheme="minorHAnsi" w:hAnsiTheme="minorHAnsi"/>
                <w:sz w:val="24"/>
                <w:szCs w:val="24"/>
              </w:rPr>
              <w:t xml:space="preserve">applicant 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 xml:space="preserve">charities. </w:t>
            </w:r>
          </w:p>
          <w:p w14:paraId="53511EC7" w14:textId="2714898D" w:rsidR="00365871" w:rsidRPr="00365871" w:rsidRDefault="00365871" w:rsidP="004E3BA0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365871">
              <w:rPr>
                <w:rFonts w:asciiTheme="minorHAnsi" w:hAnsiTheme="minorHAnsi"/>
                <w:sz w:val="24"/>
                <w:szCs w:val="24"/>
              </w:rPr>
              <w:t>1.3.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ab/>
              <w:t xml:space="preserve">Monitor the impact of the BMA’s charitable </w:t>
            </w:r>
            <w:r w:rsidR="0076753B">
              <w:rPr>
                <w:rFonts w:asciiTheme="minorHAnsi" w:hAnsiTheme="minorHAnsi"/>
                <w:sz w:val="24"/>
                <w:szCs w:val="24"/>
              </w:rPr>
              <w:t>grants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302E0C43" w14:textId="59EDA1DD" w:rsidR="00365871" w:rsidRPr="003E7B2D" w:rsidRDefault="00365871" w:rsidP="004E3BA0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365871">
              <w:rPr>
                <w:rFonts w:asciiTheme="minorHAnsi" w:hAnsiTheme="minorHAnsi"/>
                <w:sz w:val="24"/>
                <w:szCs w:val="24"/>
              </w:rPr>
              <w:t>1.4.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ab/>
              <w:t xml:space="preserve">Ensure that charitable </w:t>
            </w:r>
            <w:r w:rsidR="0076753B">
              <w:rPr>
                <w:rFonts w:asciiTheme="minorHAnsi" w:hAnsiTheme="minorHAnsi"/>
                <w:sz w:val="24"/>
                <w:szCs w:val="24"/>
              </w:rPr>
              <w:t>grants</w:t>
            </w:r>
            <w:r w:rsidRPr="00365871">
              <w:rPr>
                <w:rFonts w:asciiTheme="minorHAnsi" w:hAnsiTheme="minorHAnsi"/>
                <w:sz w:val="24"/>
                <w:szCs w:val="24"/>
              </w:rPr>
              <w:t xml:space="preserve"> are aligned with BMA strategic priorities.</w:t>
            </w:r>
          </w:p>
          <w:p w14:paraId="403DB9F6" w14:textId="77777777" w:rsidR="008F7559" w:rsidRPr="003E7B2D" w:rsidRDefault="008F7559" w:rsidP="00BC2AA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7539B8C" w14:textId="0C678B9B" w:rsidR="000B591F" w:rsidRDefault="00D20493" w:rsidP="008F7559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ind w:left="626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DA5BEB">
              <w:rPr>
                <w:rFonts w:asciiTheme="minorHAnsi" w:hAnsiTheme="minorHAnsi"/>
                <w:sz w:val="24"/>
                <w:szCs w:val="24"/>
              </w:rPr>
              <w:t>ommittee members will c</w:t>
            </w:r>
            <w:r w:rsidR="000B591F">
              <w:rPr>
                <w:rFonts w:asciiTheme="minorHAnsi" w:hAnsiTheme="minorHAnsi"/>
                <w:sz w:val="24"/>
                <w:szCs w:val="24"/>
              </w:rPr>
              <w:t xml:space="preserve">onsider requests for charitable </w:t>
            </w:r>
            <w:r w:rsidR="0076753B">
              <w:rPr>
                <w:rFonts w:asciiTheme="minorHAnsi" w:hAnsiTheme="minorHAnsi"/>
                <w:sz w:val="24"/>
                <w:szCs w:val="24"/>
              </w:rPr>
              <w:t>grants</w:t>
            </w:r>
            <w:r w:rsidR="000B591F">
              <w:rPr>
                <w:rFonts w:asciiTheme="minorHAnsi" w:hAnsiTheme="minorHAnsi"/>
                <w:sz w:val="24"/>
                <w:szCs w:val="24"/>
              </w:rPr>
              <w:t xml:space="preserve"> on behalf of the BMA </w:t>
            </w:r>
            <w:r w:rsidR="000636A9">
              <w:rPr>
                <w:rFonts w:asciiTheme="minorHAnsi" w:hAnsiTheme="minorHAnsi"/>
                <w:sz w:val="24"/>
                <w:szCs w:val="24"/>
              </w:rPr>
              <w:t>finance committee</w:t>
            </w:r>
          </w:p>
          <w:p w14:paraId="27E1AB8E" w14:textId="31FEE737" w:rsidR="000B591F" w:rsidRPr="00D61473" w:rsidRDefault="000B591F" w:rsidP="00D61473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ind w:left="626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purpose of the </w:t>
            </w:r>
            <w:r w:rsidR="0039699E">
              <w:rPr>
                <w:rFonts w:asciiTheme="minorHAnsi" w:hAnsiTheme="minorHAnsi"/>
                <w:sz w:val="24"/>
                <w:szCs w:val="24"/>
              </w:rPr>
              <w:t>grant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must fall within the objects of the BMA which include</w:t>
            </w:r>
            <w:r w:rsidR="00D61473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 w:rsidRPr="00D61473">
              <w:rPr>
                <w:rFonts w:asciiTheme="minorHAnsi" w:hAnsiTheme="minorHAnsi"/>
                <w:sz w:val="24"/>
                <w:szCs w:val="24"/>
              </w:rPr>
              <w:t>romoting the medical and allied sciences</w:t>
            </w:r>
            <w:r w:rsidR="00D61473">
              <w:rPr>
                <w:rFonts w:asciiTheme="minorHAnsi" w:hAnsiTheme="minorHAnsi"/>
                <w:sz w:val="24"/>
                <w:szCs w:val="24"/>
              </w:rPr>
              <w:t>, m</w:t>
            </w:r>
            <w:r w:rsidRPr="00D61473">
              <w:rPr>
                <w:rFonts w:asciiTheme="minorHAnsi" w:hAnsiTheme="minorHAnsi"/>
                <w:sz w:val="24"/>
                <w:szCs w:val="24"/>
              </w:rPr>
              <w:t>aintaining the</w:t>
            </w:r>
            <w:r w:rsidRPr="00D6147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honour</w:t>
            </w:r>
            <w:r w:rsidRPr="00D61473">
              <w:rPr>
                <w:rFonts w:asciiTheme="minorHAnsi" w:hAnsiTheme="minorHAnsi"/>
                <w:sz w:val="24"/>
                <w:szCs w:val="24"/>
              </w:rPr>
              <w:t xml:space="preserve"> and interests of the medical </w:t>
            </w:r>
            <w:r w:rsidR="0091097E" w:rsidRPr="00D61473">
              <w:rPr>
                <w:rFonts w:asciiTheme="minorHAnsi" w:hAnsiTheme="minorHAnsi"/>
                <w:sz w:val="24"/>
                <w:szCs w:val="24"/>
              </w:rPr>
              <w:t>profession,</w:t>
            </w:r>
            <w:r w:rsidR="00D61473">
              <w:rPr>
                <w:rFonts w:asciiTheme="minorHAnsi" w:hAnsiTheme="minorHAnsi"/>
                <w:sz w:val="24"/>
                <w:szCs w:val="24"/>
              </w:rPr>
              <w:t xml:space="preserve"> and p</w:t>
            </w:r>
            <w:r w:rsidRPr="00D61473">
              <w:rPr>
                <w:rFonts w:asciiTheme="minorHAnsi" w:hAnsiTheme="minorHAnsi"/>
                <w:sz w:val="24"/>
                <w:szCs w:val="24"/>
              </w:rPr>
              <w:t xml:space="preserve">romoting the achievement of </w:t>
            </w:r>
            <w:r w:rsidR="00157F7B" w:rsidRPr="00D61473">
              <w:rPr>
                <w:rFonts w:asciiTheme="minorHAnsi" w:hAnsiTheme="minorHAnsi"/>
                <w:sz w:val="24"/>
                <w:szCs w:val="24"/>
              </w:rPr>
              <w:t>high-quality</w:t>
            </w:r>
            <w:r w:rsidRPr="00D61473">
              <w:rPr>
                <w:rFonts w:asciiTheme="minorHAnsi" w:hAnsiTheme="minorHAnsi"/>
                <w:sz w:val="24"/>
                <w:szCs w:val="24"/>
              </w:rPr>
              <w:t xml:space="preserve"> health care</w:t>
            </w:r>
          </w:p>
          <w:p w14:paraId="1B13E17E" w14:textId="0CD0891D" w:rsidR="008F7559" w:rsidRDefault="008F7559" w:rsidP="008F7559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ind w:left="626" w:hanging="360"/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 xml:space="preserve">Provide expert advice and guidance on </w:t>
            </w:r>
            <w:r w:rsidR="000B591F">
              <w:rPr>
                <w:rFonts w:asciiTheme="minorHAnsi" w:hAnsiTheme="minorHAnsi"/>
                <w:sz w:val="24"/>
                <w:szCs w:val="24"/>
              </w:rPr>
              <w:t>whether applicant projects fall within the BMA’s objectives</w:t>
            </w:r>
            <w:r w:rsidRPr="003E7B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728CB8B" w14:textId="4C6A9D02" w:rsidR="00235E08" w:rsidRPr="003E7B2D" w:rsidRDefault="00235E08" w:rsidP="008F7559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ind w:left="626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Decide donation amounts for projects that meet the BMA’</w:t>
            </w:r>
            <w:r w:rsidR="00D61473">
              <w:rPr>
                <w:rFonts w:asciiTheme="minorHAnsi" w:hAnsiTheme="minorHAnsi"/>
                <w:sz w:val="24"/>
                <w:szCs w:val="24"/>
              </w:rPr>
              <w:t>s criteria,</w:t>
            </w:r>
            <w:r w:rsidR="00734665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D61473">
              <w:rPr>
                <w:rFonts w:asciiTheme="minorHAnsi" w:hAnsiTheme="minorHAnsi"/>
                <w:sz w:val="24"/>
                <w:szCs w:val="24"/>
              </w:rPr>
              <w:t xml:space="preserve">use BMA resources </w:t>
            </w:r>
            <w:r w:rsidR="00ED01BC">
              <w:rPr>
                <w:rFonts w:asciiTheme="minorHAnsi" w:hAnsiTheme="minorHAnsi"/>
                <w:sz w:val="24"/>
                <w:szCs w:val="24"/>
              </w:rPr>
              <w:t xml:space="preserve">most </w:t>
            </w:r>
            <w:r w:rsidR="00D61473">
              <w:rPr>
                <w:rFonts w:asciiTheme="minorHAnsi" w:hAnsiTheme="minorHAnsi"/>
                <w:sz w:val="24"/>
                <w:szCs w:val="24"/>
              </w:rPr>
              <w:t>effectively and efficiently</w:t>
            </w:r>
          </w:p>
          <w:p w14:paraId="1F61767F" w14:textId="5474181A" w:rsidR="00BC65E6" w:rsidRDefault="00BC65E6" w:rsidP="008F7559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ind w:left="626" w:hanging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group will normally meet once per session and additional meetings may be held if business dictates</w:t>
            </w:r>
          </w:p>
          <w:p w14:paraId="24E92B47" w14:textId="6B1B00D0" w:rsidR="008F7559" w:rsidRPr="00613C16" w:rsidRDefault="008F7559" w:rsidP="008F7559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ind w:left="626" w:hanging="360"/>
              <w:rPr>
                <w:rFonts w:asciiTheme="minorHAnsi" w:hAnsiTheme="minorHAnsi"/>
                <w:sz w:val="24"/>
                <w:szCs w:val="24"/>
              </w:rPr>
            </w:pPr>
            <w:r w:rsidRPr="00613C16">
              <w:rPr>
                <w:rFonts w:asciiTheme="minorHAnsi" w:hAnsiTheme="minorHAnsi"/>
                <w:sz w:val="24"/>
                <w:szCs w:val="24"/>
              </w:rPr>
              <w:t xml:space="preserve">Act as ambassadors for </w:t>
            </w:r>
            <w:r w:rsidR="002F08BF">
              <w:rPr>
                <w:rFonts w:asciiTheme="minorHAnsi" w:hAnsiTheme="minorHAnsi"/>
                <w:sz w:val="24"/>
                <w:szCs w:val="24"/>
              </w:rPr>
              <w:t xml:space="preserve">charitable giving </w:t>
            </w:r>
            <w:r w:rsidR="00190FA7">
              <w:rPr>
                <w:rFonts w:asciiTheme="minorHAnsi" w:hAnsiTheme="minorHAnsi"/>
                <w:sz w:val="24"/>
                <w:szCs w:val="24"/>
              </w:rPr>
              <w:t>at the BMA and, promote and embody</w:t>
            </w:r>
            <w:r w:rsidRPr="00613C16">
              <w:rPr>
                <w:rFonts w:asciiTheme="minorHAnsi" w:hAnsiTheme="minorHAnsi"/>
                <w:sz w:val="24"/>
                <w:szCs w:val="24"/>
              </w:rPr>
              <w:t xml:space="preserve"> the BMA</w:t>
            </w:r>
            <w:r w:rsidR="002F08BF">
              <w:rPr>
                <w:rFonts w:asciiTheme="minorHAnsi" w:hAnsiTheme="minorHAnsi"/>
                <w:sz w:val="24"/>
                <w:szCs w:val="24"/>
              </w:rPr>
              <w:t>’s</w:t>
            </w:r>
            <w:r w:rsidRPr="00613C1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F08BF">
              <w:rPr>
                <w:rFonts w:asciiTheme="minorHAnsi" w:hAnsiTheme="minorHAnsi"/>
                <w:sz w:val="24"/>
                <w:szCs w:val="24"/>
              </w:rPr>
              <w:t>charitable giving strategy</w:t>
            </w:r>
          </w:p>
          <w:p w14:paraId="21E83D3A" w14:textId="77777777" w:rsidR="008F7559" w:rsidRPr="003E7B2D" w:rsidRDefault="008F7559" w:rsidP="00BC2AA4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lastRenderedPageBreak/>
              <w:t>Membership of the group:</w:t>
            </w:r>
          </w:p>
          <w:p w14:paraId="6581A0F3" w14:textId="28A067BE" w:rsidR="008F7559" w:rsidRPr="004D4D5A" w:rsidRDefault="008F7559" w:rsidP="008F36EE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 xml:space="preserve">The group </w:t>
            </w:r>
            <w:r>
              <w:rPr>
                <w:rFonts w:asciiTheme="minorHAnsi" w:hAnsiTheme="minorHAnsi"/>
                <w:sz w:val="24"/>
                <w:szCs w:val="24"/>
              </w:rPr>
              <w:t>is</w:t>
            </w:r>
            <w:r w:rsidRPr="003E7B2D">
              <w:rPr>
                <w:rFonts w:asciiTheme="minorHAnsi" w:hAnsiTheme="minorHAnsi"/>
                <w:sz w:val="24"/>
                <w:szCs w:val="24"/>
              </w:rPr>
              <w:t xml:space="preserve"> made up of </w:t>
            </w:r>
            <w:r w:rsidR="00282D15" w:rsidRPr="00365871">
              <w:rPr>
                <w:rFonts w:asciiTheme="minorHAnsi" w:hAnsiTheme="minorHAnsi"/>
                <w:sz w:val="24"/>
                <w:szCs w:val="24"/>
              </w:rPr>
              <w:t>8</w:t>
            </w:r>
            <w:r w:rsidR="00365871">
              <w:rPr>
                <w:rFonts w:asciiTheme="minorHAnsi" w:hAnsiTheme="minorHAnsi"/>
                <w:sz w:val="24"/>
                <w:szCs w:val="24"/>
              </w:rPr>
              <w:t>-10</w:t>
            </w:r>
            <w:r w:rsidR="00282D15">
              <w:rPr>
                <w:rFonts w:asciiTheme="minorHAnsi" w:hAnsiTheme="minorHAnsi"/>
                <w:sz w:val="24"/>
                <w:szCs w:val="24"/>
              </w:rPr>
              <w:t xml:space="preserve"> individuals</w:t>
            </w:r>
            <w:r w:rsidR="00734665">
              <w:rPr>
                <w:rFonts w:asciiTheme="minorHAnsi" w:hAnsiTheme="minorHAnsi"/>
                <w:sz w:val="24"/>
                <w:szCs w:val="24"/>
              </w:rPr>
              <w:t>;</w:t>
            </w:r>
            <w:r w:rsidR="00DA14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2D15">
              <w:rPr>
                <w:rFonts w:asciiTheme="minorHAnsi" w:hAnsiTheme="minorHAnsi"/>
                <w:sz w:val="24"/>
                <w:szCs w:val="24"/>
              </w:rPr>
              <w:t>the chair,</w:t>
            </w:r>
            <w:r w:rsidR="00734665">
              <w:rPr>
                <w:rFonts w:asciiTheme="minorHAnsi" w:hAnsiTheme="minorHAnsi"/>
                <w:sz w:val="24"/>
                <w:szCs w:val="24"/>
              </w:rPr>
              <w:t xml:space="preserve"> the BMA president</w:t>
            </w:r>
            <w:r w:rsidR="00D9311C">
              <w:rPr>
                <w:rFonts w:asciiTheme="minorHAnsi" w:hAnsiTheme="minorHAnsi"/>
                <w:sz w:val="24"/>
                <w:szCs w:val="24"/>
              </w:rPr>
              <w:t xml:space="preserve">, the BMA </w:t>
            </w:r>
            <w:r w:rsidR="0061593A">
              <w:rPr>
                <w:rFonts w:asciiTheme="minorHAnsi" w:hAnsiTheme="minorHAnsi"/>
                <w:sz w:val="24"/>
                <w:szCs w:val="24"/>
              </w:rPr>
              <w:t>d</w:t>
            </w:r>
            <w:r w:rsidR="0006222B">
              <w:rPr>
                <w:rFonts w:asciiTheme="minorHAnsi" w:hAnsiTheme="minorHAnsi"/>
                <w:sz w:val="24"/>
                <w:szCs w:val="24"/>
              </w:rPr>
              <w:t>irector of finance and corporate services</w:t>
            </w:r>
            <w:r w:rsidR="008F36EE">
              <w:rPr>
                <w:rFonts w:asciiTheme="minorHAnsi" w:hAnsiTheme="minorHAnsi"/>
                <w:sz w:val="24"/>
                <w:szCs w:val="24"/>
              </w:rPr>
              <w:t>, one lay BMA finance committee member, one BMA member from the finance committee</w:t>
            </w:r>
            <w:r w:rsidR="006159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2D15" w:rsidRPr="004D4D5A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D9311C" w:rsidRPr="004D4D5A">
              <w:rPr>
                <w:rFonts w:asciiTheme="minorHAnsi" w:hAnsiTheme="minorHAnsi"/>
                <w:sz w:val="24"/>
                <w:szCs w:val="24"/>
              </w:rPr>
              <w:t>four</w:t>
            </w:r>
            <w:r w:rsidR="00FD2217" w:rsidRPr="004D4D5A">
              <w:rPr>
                <w:rFonts w:asciiTheme="minorHAnsi" w:hAnsiTheme="minorHAnsi"/>
                <w:sz w:val="24"/>
                <w:szCs w:val="24"/>
              </w:rPr>
              <w:t xml:space="preserve"> other </w:t>
            </w:r>
            <w:r w:rsidR="00282D15" w:rsidRPr="004D4D5A">
              <w:rPr>
                <w:rFonts w:asciiTheme="minorHAnsi" w:hAnsiTheme="minorHAnsi"/>
                <w:sz w:val="24"/>
                <w:szCs w:val="24"/>
              </w:rPr>
              <w:t>BMA members</w:t>
            </w:r>
            <w:r w:rsidRPr="004D4D5A">
              <w:rPr>
                <w:rFonts w:asciiTheme="minorHAnsi" w:hAnsiTheme="minorHAnsi"/>
                <w:sz w:val="24"/>
                <w:szCs w:val="24"/>
              </w:rPr>
              <w:t xml:space="preserve"> all on one year terms</w:t>
            </w:r>
            <w:r w:rsidR="00053A3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8E383DB" w14:textId="02964F4F" w:rsidR="008F7559" w:rsidRPr="004D4D5A" w:rsidRDefault="008F7559" w:rsidP="00053A3A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group is chaired by </w:t>
            </w:r>
            <w:r w:rsidR="002F7416">
              <w:rPr>
                <w:rFonts w:asciiTheme="minorHAnsi" w:hAnsiTheme="minorHAnsi"/>
                <w:sz w:val="24"/>
                <w:szCs w:val="24"/>
              </w:rPr>
              <w:t>a</w:t>
            </w:r>
            <w:r w:rsidR="00365871">
              <w:rPr>
                <w:rFonts w:asciiTheme="minorHAnsi" w:hAnsiTheme="minorHAnsi"/>
                <w:sz w:val="24"/>
                <w:szCs w:val="24"/>
              </w:rPr>
              <w:t xml:space="preserve"> past BMA president who has a term of </w:t>
            </w:r>
            <w:r w:rsidR="001548C0">
              <w:rPr>
                <w:rFonts w:asciiTheme="minorHAnsi" w:hAnsiTheme="minorHAnsi"/>
                <w:sz w:val="24"/>
                <w:szCs w:val="24"/>
              </w:rPr>
              <w:t>three</w:t>
            </w:r>
            <w:r w:rsidR="00365871">
              <w:rPr>
                <w:rFonts w:asciiTheme="minorHAnsi" w:hAnsiTheme="minorHAnsi"/>
                <w:sz w:val="24"/>
                <w:szCs w:val="24"/>
              </w:rPr>
              <w:t xml:space="preserve"> years</w:t>
            </w:r>
            <w:r w:rsidR="00053A3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B461690" w14:textId="33D1D6EC" w:rsidR="008F7559" w:rsidRPr="003E7B2D" w:rsidRDefault="008F7559" w:rsidP="00BC2AA4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 xml:space="preserve">It is the responsibility of members of the </w:t>
            </w:r>
            <w:r w:rsidR="006A76C4">
              <w:rPr>
                <w:rFonts w:asciiTheme="minorHAnsi" w:hAnsiTheme="minorHAnsi"/>
                <w:sz w:val="24"/>
                <w:szCs w:val="24"/>
              </w:rPr>
              <w:t>subcommittee</w:t>
            </w:r>
            <w:r w:rsidRPr="003E7B2D">
              <w:rPr>
                <w:rFonts w:asciiTheme="minorHAnsi" w:hAnsiTheme="minorHAnsi"/>
                <w:sz w:val="24"/>
                <w:szCs w:val="24"/>
              </w:rPr>
              <w:t xml:space="preserve"> to:</w:t>
            </w:r>
          </w:p>
          <w:p w14:paraId="7ADC8061" w14:textId="41991543" w:rsidR="008F7559" w:rsidRPr="003E7B2D" w:rsidRDefault="008F7559" w:rsidP="008F7559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 xml:space="preserve">Uphold and abide by the </w:t>
            </w:r>
            <w:r w:rsidRPr="002E682A">
              <w:rPr>
                <w:rFonts w:asciiTheme="minorHAnsi" w:hAnsiTheme="minorHAnsi"/>
                <w:sz w:val="24"/>
                <w:szCs w:val="24"/>
              </w:rPr>
              <w:t>BMA</w:t>
            </w:r>
            <w:r w:rsidRPr="002E682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behaviour</w:t>
            </w:r>
            <w:r w:rsidRPr="002E682A">
              <w:rPr>
                <w:rFonts w:asciiTheme="minorHAnsi" w:hAnsiTheme="minorHAnsi"/>
                <w:sz w:val="24"/>
                <w:szCs w:val="24"/>
              </w:rPr>
              <w:t xml:space="preserve"> principles and code of conduct</w:t>
            </w:r>
          </w:p>
          <w:p w14:paraId="783602FE" w14:textId="77777777" w:rsidR="008F7559" w:rsidRPr="003E7B2D" w:rsidRDefault="008F7559" w:rsidP="008F7559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 xml:space="preserve">Prepare for meetings to enable you to participate fully </w:t>
            </w:r>
          </w:p>
          <w:p w14:paraId="4B1DD0EB" w14:textId="076B1C97" w:rsidR="008F7559" w:rsidRPr="003E7B2D" w:rsidRDefault="008F7559" w:rsidP="008F7559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 xml:space="preserve">If you are unable to attend the meeting, notify </w:t>
            </w:r>
            <w:r w:rsidR="00662560">
              <w:rPr>
                <w:rFonts w:asciiTheme="minorHAnsi" w:hAnsiTheme="minorHAnsi"/>
                <w:sz w:val="24"/>
                <w:szCs w:val="24"/>
              </w:rPr>
              <w:t xml:space="preserve">the BMA </w:t>
            </w:r>
            <w:r w:rsidR="002547D8">
              <w:rPr>
                <w:rFonts w:asciiTheme="minorHAnsi" w:hAnsiTheme="minorHAnsi"/>
                <w:sz w:val="24"/>
                <w:szCs w:val="24"/>
              </w:rPr>
              <w:t>c</w:t>
            </w:r>
            <w:r w:rsidR="00662560">
              <w:rPr>
                <w:rFonts w:asciiTheme="minorHAnsi" w:hAnsiTheme="minorHAnsi"/>
                <w:sz w:val="24"/>
                <w:szCs w:val="24"/>
              </w:rPr>
              <w:t>orporate</w:t>
            </w:r>
            <w:r w:rsidR="00FB0D7A">
              <w:rPr>
                <w:rFonts w:asciiTheme="minorHAnsi" w:hAnsiTheme="minorHAnsi"/>
                <w:sz w:val="24"/>
                <w:szCs w:val="24"/>
              </w:rPr>
              <w:t xml:space="preserve"> and member</w:t>
            </w:r>
            <w:r w:rsidR="00662560">
              <w:rPr>
                <w:rFonts w:asciiTheme="minorHAnsi" w:hAnsiTheme="minorHAnsi"/>
                <w:sz w:val="24"/>
                <w:szCs w:val="24"/>
              </w:rPr>
              <w:t xml:space="preserve"> development directorate </w:t>
            </w:r>
            <w:r w:rsidRPr="003E7B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868DB50" w14:textId="77777777" w:rsidR="008F7559" w:rsidRPr="003E7B2D" w:rsidRDefault="008F7559" w:rsidP="008F7559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>Work in partnership with the BMA staff</w:t>
            </w:r>
          </w:p>
          <w:p w14:paraId="61F0D0CD" w14:textId="77777777" w:rsidR="008F7559" w:rsidRDefault="008F7559" w:rsidP="008F7559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sz w:val="24"/>
                <w:szCs w:val="24"/>
              </w:rPr>
              <w:t>Contribute to email discussions</w:t>
            </w:r>
          </w:p>
          <w:p w14:paraId="29B25C3D" w14:textId="6B2FA653" w:rsidR="004E3BA0" w:rsidRPr="006E46C6" w:rsidRDefault="002E682A" w:rsidP="004D4D5A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Declare</w:t>
            </w:r>
            <w:r w:rsidR="00B40544">
              <w:rPr>
                <w:rFonts w:asciiTheme="minorHAnsi" w:hAnsiTheme="minorHAnsi"/>
                <w:sz w:val="24"/>
                <w:szCs w:val="24"/>
              </w:rPr>
              <w:t xml:space="preserve"> any conflict of interest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the committee</w:t>
            </w:r>
          </w:p>
        </w:tc>
      </w:tr>
    </w:tbl>
    <w:p w14:paraId="62E17725" w14:textId="77777777" w:rsidR="004E3BA0" w:rsidRDefault="004E3BA0" w:rsidP="00BD6F40"/>
    <w:p w14:paraId="009615F2" w14:textId="29B7724A" w:rsidR="000D3730" w:rsidRDefault="000D3730" w:rsidP="00BD6F40"/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0D3730" w:rsidRPr="000D3730" w14:paraId="2A949FBB" w14:textId="77777777" w:rsidTr="009B0619">
        <w:tc>
          <w:tcPr>
            <w:tcW w:w="9356" w:type="dxa"/>
            <w:shd w:val="clear" w:color="auto" w:fill="AC75D5"/>
          </w:tcPr>
          <w:p w14:paraId="2821FDDD" w14:textId="77777777" w:rsidR="000D3730" w:rsidRPr="000D3730" w:rsidRDefault="000D3730" w:rsidP="000D3730">
            <w:pPr>
              <w:spacing w:before="1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D3730"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Skills / personal attributes</w:t>
            </w:r>
          </w:p>
          <w:p w14:paraId="3B14DDFA" w14:textId="77777777" w:rsidR="000D3730" w:rsidRPr="000D3730" w:rsidRDefault="000D3730" w:rsidP="000D3730">
            <w:pPr>
              <w:spacing w:line="200" w:lineRule="exact"/>
              <w:rPr>
                <w:rFonts w:ascii="Calibri" w:hAnsi="Calibri"/>
                <w:color w:val="9966FF"/>
                <w:sz w:val="24"/>
                <w:szCs w:val="24"/>
              </w:rPr>
            </w:pPr>
          </w:p>
        </w:tc>
      </w:tr>
      <w:tr w:rsidR="000D3730" w:rsidRPr="000D3730" w14:paraId="6090A453" w14:textId="77777777" w:rsidTr="00267BCC">
        <w:tc>
          <w:tcPr>
            <w:tcW w:w="9356" w:type="dxa"/>
            <w:shd w:val="clear" w:color="auto" w:fill="FFE599" w:themeFill="accent4" w:themeFillTint="66"/>
          </w:tcPr>
          <w:p w14:paraId="22C08F98" w14:textId="77777777" w:rsidR="000D3730" w:rsidRPr="000D3730" w:rsidRDefault="000D3730" w:rsidP="000D3730">
            <w:pPr>
              <w:rPr>
                <w:rFonts w:ascii="Calibri" w:hAnsi="Calibri"/>
                <w:i/>
                <w:sz w:val="24"/>
                <w:szCs w:val="24"/>
              </w:rPr>
            </w:pPr>
            <w:r w:rsidRPr="000D3730">
              <w:rPr>
                <w:rFonts w:ascii="Calibri" w:hAnsi="Calibri"/>
                <w:i/>
                <w:sz w:val="24"/>
                <w:szCs w:val="24"/>
              </w:rPr>
              <w:t>Describe the skills and personal attributes necessary in the role</w:t>
            </w:r>
          </w:p>
          <w:p w14:paraId="505178B5" w14:textId="77777777" w:rsidR="000D3730" w:rsidRPr="000D3730" w:rsidRDefault="000D3730" w:rsidP="000D3730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0D3730" w:rsidRPr="000D3730" w14:paraId="22248FB7" w14:textId="77777777" w:rsidTr="005C327B">
        <w:trPr>
          <w:trHeight w:val="2854"/>
        </w:trPr>
        <w:tc>
          <w:tcPr>
            <w:tcW w:w="9356" w:type="dxa"/>
            <w:shd w:val="clear" w:color="auto" w:fill="FFFFFF" w:themeFill="background1"/>
          </w:tcPr>
          <w:p w14:paraId="2BFF7DE3" w14:textId="6E34291D" w:rsidR="000D3730" w:rsidRPr="000D3730" w:rsidRDefault="000D3730" w:rsidP="000D3730">
            <w:pPr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281DB443">
              <w:rPr>
                <w:rFonts w:ascii="Calibri" w:eastAsia="Calibri" w:hAnsi="Calibri" w:cs="Calibri"/>
                <w:color w:val="222222"/>
                <w:sz w:val="24"/>
                <w:szCs w:val="24"/>
                <w:shd w:val="clear" w:color="auto" w:fill="FFFFFF"/>
              </w:rPr>
              <w:t>As a member of the committee</w:t>
            </w:r>
            <w:r w:rsidR="00B40544" w:rsidRPr="281DB443">
              <w:rPr>
                <w:rFonts w:ascii="Calibri" w:eastAsia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281DB443">
              <w:rPr>
                <w:rFonts w:ascii="Calibri" w:eastAsia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you will offer advice </w:t>
            </w:r>
            <w:r w:rsidR="00B40544" w:rsidRPr="281DB443">
              <w:rPr>
                <w:rFonts w:ascii="Calibri" w:eastAsia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and make decisions on incoming requests for </w:t>
            </w:r>
            <w:r w:rsidR="0076753B">
              <w:rPr>
                <w:rFonts w:ascii="Calibri" w:eastAsia="Calibri" w:hAnsi="Calibri" w:cs="Calibri"/>
                <w:color w:val="222222"/>
                <w:sz w:val="24"/>
                <w:szCs w:val="24"/>
                <w:shd w:val="clear" w:color="auto" w:fill="FFFFFF"/>
              </w:rPr>
              <w:t>grants</w:t>
            </w:r>
            <w:r w:rsidR="00B40544" w:rsidRPr="281DB443">
              <w:rPr>
                <w:rFonts w:ascii="Calibri" w:eastAsia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from charities.</w:t>
            </w:r>
          </w:p>
          <w:p w14:paraId="038D2644" w14:textId="77777777" w:rsidR="000D3730" w:rsidRPr="000D3730" w:rsidRDefault="000D3730" w:rsidP="000D37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9E41AB" w14:textId="5B47019A" w:rsidR="00734665" w:rsidRDefault="000D3730" w:rsidP="00A469EF">
            <w:pPr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1DB443">
              <w:rPr>
                <w:rFonts w:ascii="Calibri" w:eastAsia="Calibri" w:hAnsi="Calibri" w:cs="Calibri"/>
                <w:sz w:val="24"/>
                <w:szCs w:val="24"/>
              </w:rPr>
              <w:t>Candidates will need to demonstrate knowledge, understanding and experience of</w:t>
            </w:r>
            <w:r w:rsidR="00A469EF" w:rsidRPr="281DB443">
              <w:rPr>
                <w:rFonts w:ascii="Calibri" w:eastAsia="Calibri" w:hAnsi="Calibri" w:cs="Calibri"/>
                <w:sz w:val="24"/>
                <w:szCs w:val="24"/>
              </w:rPr>
              <w:t xml:space="preserve"> t</w:t>
            </w:r>
            <w:r w:rsidR="006A76C4" w:rsidRPr="281DB443">
              <w:rPr>
                <w:rFonts w:ascii="Calibri" w:eastAsia="Calibri" w:hAnsi="Calibri" w:cs="Calibri"/>
                <w:sz w:val="24"/>
                <w:szCs w:val="24"/>
              </w:rPr>
              <w:t>he BMA’s charitable giving strategy</w:t>
            </w:r>
            <w:r w:rsidRPr="281DB44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469EF" w:rsidRPr="281DB443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731903" w:rsidRPr="281DB443">
              <w:rPr>
                <w:rFonts w:ascii="Calibri" w:eastAsia="Calibri" w:hAnsi="Calibri" w:cs="Calibri"/>
                <w:sz w:val="24"/>
                <w:szCs w:val="24"/>
              </w:rPr>
              <w:t>he BMA’s objectives</w:t>
            </w:r>
            <w:r w:rsidR="00A469EF" w:rsidRPr="281DB44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8735B8" w14:textId="27C77C7E" w:rsidR="000D3730" w:rsidRPr="000D3730" w:rsidRDefault="00734665" w:rsidP="281DB443">
            <w:p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281DB443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002E592D" w:rsidRPr="281DB443">
              <w:rPr>
                <w:rFonts w:ascii="Calibri" w:eastAsia="Calibri" w:hAnsi="Calibri" w:cs="Calibri"/>
                <w:sz w:val="24"/>
                <w:szCs w:val="24"/>
              </w:rPr>
              <w:t xml:space="preserve"> addition, candidates must have s</w:t>
            </w:r>
            <w:r w:rsidR="000D3730" w:rsidRPr="281DB443">
              <w:rPr>
                <w:rFonts w:ascii="Calibri" w:eastAsia="Calibri" w:hAnsi="Calibri" w:cs="Calibri"/>
                <w:sz w:val="24"/>
                <w:szCs w:val="24"/>
              </w:rPr>
              <w:t>trong interpersonal skills and demon</w:t>
            </w:r>
            <w:r w:rsidR="002E592D" w:rsidRPr="281DB443">
              <w:rPr>
                <w:rFonts w:ascii="Calibri" w:eastAsia="Calibri" w:hAnsi="Calibri" w:cs="Calibri"/>
                <w:sz w:val="24"/>
                <w:szCs w:val="24"/>
              </w:rPr>
              <w:t>strated decision-making skills, strong communication skills</w:t>
            </w:r>
            <w:r w:rsidR="000D3730" w:rsidRPr="281DB443">
              <w:rPr>
                <w:rFonts w:ascii="Calibri" w:eastAsia="Calibri" w:hAnsi="Calibri" w:cs="Calibri"/>
                <w:sz w:val="24"/>
                <w:szCs w:val="24"/>
              </w:rPr>
              <w:t xml:space="preserve"> with</w:t>
            </w:r>
            <w:r w:rsidR="002E592D" w:rsidRPr="281DB443">
              <w:rPr>
                <w:rFonts w:ascii="Calibri" w:eastAsia="Calibri" w:hAnsi="Calibri" w:cs="Calibri"/>
                <w:sz w:val="24"/>
                <w:szCs w:val="24"/>
              </w:rPr>
              <w:t xml:space="preserve"> the ability to speak in public and t</w:t>
            </w:r>
            <w:r w:rsidRPr="281DB443">
              <w:rPr>
                <w:rFonts w:ascii="Calibri" w:eastAsia="Calibri" w:hAnsi="Calibri" w:cs="Calibri"/>
                <w:sz w:val="24"/>
                <w:szCs w:val="24"/>
              </w:rPr>
              <w:t>he ability to w</w:t>
            </w:r>
            <w:r w:rsidR="000D3730" w:rsidRPr="281DB443">
              <w:rPr>
                <w:rFonts w:ascii="Calibri" w:eastAsia="Calibri" w:hAnsi="Calibri" w:cs="Calibri"/>
                <w:sz w:val="24"/>
                <w:szCs w:val="24"/>
              </w:rPr>
              <w:t xml:space="preserve">ork effectively and productively with others; including BMA staff teams.  </w:t>
            </w:r>
          </w:p>
        </w:tc>
      </w:tr>
    </w:tbl>
    <w:p w14:paraId="7DA84810" w14:textId="46F29979" w:rsidR="000D3730" w:rsidRDefault="000D3730" w:rsidP="00BD6F40"/>
    <w:p w14:paraId="4EA7AB1E" w14:textId="69A04C07" w:rsidR="003237CE" w:rsidRDefault="003237CE" w:rsidP="00BD6F40"/>
    <w:p w14:paraId="08985CF3" w14:textId="3450F869" w:rsidR="00006A99" w:rsidRDefault="00006A99" w:rsidP="00BD6F40"/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006A99" w:rsidRPr="003E7B2D" w14:paraId="796E7794" w14:textId="77777777" w:rsidTr="00006A99">
        <w:tc>
          <w:tcPr>
            <w:tcW w:w="9356" w:type="dxa"/>
            <w:shd w:val="clear" w:color="auto" w:fill="AC75D5"/>
          </w:tcPr>
          <w:p w14:paraId="034861A8" w14:textId="77777777" w:rsidR="00006A99" w:rsidRPr="003E7B2D" w:rsidRDefault="00006A99" w:rsidP="00BC2AA4">
            <w:pPr>
              <w:spacing w:before="19" w:line="240" w:lineRule="exact"/>
              <w:ind w:left="227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3E7B2D">
              <w:rPr>
                <w:sz w:val="24"/>
                <w:szCs w:val="24"/>
              </w:rPr>
              <w:br w:type="page"/>
            </w:r>
            <w:r w:rsidRPr="281DB443">
              <w:rPr>
                <w:rFonts w:asciiTheme="minorHAnsi" w:eastAsiaTheme="minorEastAsia" w:hAnsiTheme="minorHAnsi" w:cstheme="minorBidi"/>
                <w:b/>
                <w:color w:val="FFFFFF"/>
                <w:spacing w:val="-1"/>
                <w:sz w:val="24"/>
                <w:szCs w:val="24"/>
              </w:rPr>
              <w:t>Meetings/ Time commitment</w:t>
            </w:r>
          </w:p>
          <w:p w14:paraId="0AD71C89" w14:textId="77777777" w:rsidR="00006A99" w:rsidRPr="003E7B2D" w:rsidRDefault="00006A99" w:rsidP="00BC2AA4">
            <w:pPr>
              <w:spacing w:line="200" w:lineRule="exact"/>
              <w:rPr>
                <w:rFonts w:asciiTheme="minorHAnsi" w:hAnsiTheme="minorHAnsi"/>
                <w:color w:val="9966FF"/>
                <w:sz w:val="24"/>
                <w:szCs w:val="24"/>
              </w:rPr>
            </w:pPr>
          </w:p>
        </w:tc>
      </w:tr>
      <w:tr w:rsidR="00006A99" w:rsidRPr="003E7B2D" w14:paraId="0291BF27" w14:textId="77777777" w:rsidTr="00006A99">
        <w:tc>
          <w:tcPr>
            <w:tcW w:w="9356" w:type="dxa"/>
            <w:shd w:val="clear" w:color="auto" w:fill="FFE599" w:themeFill="accent4" w:themeFillTint="66"/>
          </w:tcPr>
          <w:p w14:paraId="1DEE685D" w14:textId="77777777" w:rsidR="00006A99" w:rsidRPr="003E7B2D" w:rsidRDefault="00006A99" w:rsidP="00BC2AA4">
            <w:pPr>
              <w:rPr>
                <w:rFonts w:asciiTheme="minorHAnsi" w:hAnsiTheme="minorHAnsi"/>
                <w:sz w:val="24"/>
                <w:szCs w:val="24"/>
              </w:rPr>
            </w:pPr>
            <w:r w:rsidRPr="003E7B2D">
              <w:rPr>
                <w:rFonts w:asciiTheme="minorHAnsi" w:hAnsiTheme="minorHAnsi"/>
                <w:i/>
                <w:sz w:val="24"/>
                <w:szCs w:val="24"/>
              </w:rPr>
              <w:t xml:space="preserve">Possible weekly/monthly time commitment – eg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0.5</w:t>
            </w:r>
            <w:r w:rsidRPr="003E7B2D">
              <w:rPr>
                <w:rFonts w:asciiTheme="minorHAnsi" w:hAnsiTheme="minorHAnsi"/>
                <w:i/>
                <w:sz w:val="24"/>
                <w:szCs w:val="24"/>
              </w:rPr>
              <w:t xml:space="preserve"> day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s</w:t>
            </w:r>
            <w:r w:rsidRPr="003E7B2D">
              <w:rPr>
                <w:rFonts w:asciiTheme="minorHAnsi" w:hAnsiTheme="minorHAnsi"/>
                <w:i/>
                <w:sz w:val="24"/>
                <w:szCs w:val="24"/>
              </w:rPr>
              <w:t xml:space="preserve"> a week</w:t>
            </w:r>
          </w:p>
          <w:p w14:paraId="5E2668DD" w14:textId="77777777" w:rsidR="00006A99" w:rsidRPr="003E7B2D" w:rsidRDefault="00006A99" w:rsidP="00BC2A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6A99" w:rsidRPr="003E7B2D" w14:paraId="4B8BB834" w14:textId="77777777" w:rsidTr="00006A99">
        <w:tc>
          <w:tcPr>
            <w:tcW w:w="9356" w:type="dxa"/>
            <w:shd w:val="clear" w:color="auto" w:fill="FFFFFF" w:themeFill="background1"/>
          </w:tcPr>
          <w:p w14:paraId="0E61E95C" w14:textId="5B3C2FF7" w:rsidR="00006A99" w:rsidRPr="007E19A5" w:rsidRDefault="00DE25BD" w:rsidP="007E19A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7E19A5">
              <w:rPr>
                <w:rFonts w:asciiTheme="minorHAnsi" w:hAnsiTheme="minorHAnsi"/>
                <w:sz w:val="24"/>
                <w:szCs w:val="24"/>
              </w:rPr>
              <w:t xml:space="preserve">BMA Giving </w:t>
            </w:r>
            <w:r w:rsidR="001B7E60" w:rsidRPr="007E19A5">
              <w:rPr>
                <w:rFonts w:asciiTheme="minorHAnsi" w:hAnsiTheme="minorHAnsi"/>
                <w:sz w:val="24"/>
                <w:szCs w:val="24"/>
              </w:rPr>
              <w:t>(</w:t>
            </w:r>
            <w:r w:rsidRPr="007E19A5">
              <w:rPr>
                <w:rFonts w:asciiTheme="minorHAnsi" w:hAnsiTheme="minorHAnsi"/>
                <w:sz w:val="24"/>
                <w:szCs w:val="24"/>
              </w:rPr>
              <w:t>charitable purposes subcommittee</w:t>
            </w:r>
            <w:r w:rsidR="001B7E60" w:rsidRPr="007E19A5">
              <w:rPr>
                <w:rFonts w:asciiTheme="minorHAnsi" w:hAnsiTheme="minorHAnsi"/>
                <w:sz w:val="24"/>
                <w:szCs w:val="24"/>
              </w:rPr>
              <w:t>)</w:t>
            </w:r>
            <w:r w:rsidRPr="007E19A5">
              <w:rPr>
                <w:rFonts w:asciiTheme="minorHAnsi" w:hAnsiTheme="minorHAnsi"/>
                <w:sz w:val="24"/>
                <w:szCs w:val="24"/>
              </w:rPr>
              <w:t xml:space="preserve"> will usually meet once a year (each meeting is </w:t>
            </w:r>
            <w:r w:rsidR="00D0478A" w:rsidRPr="007E19A5">
              <w:rPr>
                <w:rFonts w:asciiTheme="minorHAnsi" w:hAnsiTheme="minorHAnsi"/>
                <w:sz w:val="24"/>
                <w:szCs w:val="24"/>
              </w:rPr>
              <w:t>two</w:t>
            </w:r>
            <w:r w:rsidRPr="007E19A5">
              <w:rPr>
                <w:rFonts w:asciiTheme="minorHAnsi" w:hAnsiTheme="minorHAnsi"/>
                <w:sz w:val="24"/>
                <w:szCs w:val="24"/>
              </w:rPr>
              <w:t xml:space="preserve"> hours long)</w:t>
            </w:r>
          </w:p>
          <w:p w14:paraId="2E676BFA" w14:textId="613F644C" w:rsidR="00DE25BD" w:rsidRDefault="00DE25BD" w:rsidP="00DE25B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contribute to any email discussions that may arise</w:t>
            </w:r>
          </w:p>
          <w:p w14:paraId="57F798A4" w14:textId="5B082FFC" w:rsidR="00DE25BD" w:rsidRDefault="00DE25BD" w:rsidP="00DE25B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 hoc additional requirements depending on circumstances</w:t>
            </w:r>
          </w:p>
          <w:p w14:paraId="5D42177B" w14:textId="77777777" w:rsidR="00006A99" w:rsidRPr="00F9195F" w:rsidRDefault="00006A99" w:rsidP="00F9195F">
            <w:pPr>
              <w:ind w:left="18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156A1C6" w14:textId="77777777" w:rsidR="00006A99" w:rsidRPr="00BD6F40" w:rsidRDefault="00006A99" w:rsidP="00BD6F40"/>
    <w:sectPr w:rsidR="00006A99" w:rsidRPr="00BD6F40" w:rsidSect="00BD6F40">
      <w:footerReference w:type="default" r:id="rId12"/>
      <w:pgSz w:w="11900" w:h="16840"/>
      <w:pgMar w:top="1418" w:right="1554" w:bottom="1701" w:left="175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D0A9" w14:textId="77777777" w:rsidR="0049163A" w:rsidRDefault="0049163A" w:rsidP="00006000">
      <w:r>
        <w:separator/>
      </w:r>
    </w:p>
  </w:endnote>
  <w:endnote w:type="continuationSeparator" w:id="0">
    <w:p w14:paraId="334DC63C" w14:textId="77777777" w:rsidR="0049163A" w:rsidRDefault="0049163A" w:rsidP="00006000">
      <w:r>
        <w:continuationSeparator/>
      </w:r>
    </w:p>
  </w:endnote>
  <w:endnote w:type="continuationNotice" w:id="1">
    <w:p w14:paraId="1C53FA5D" w14:textId="77777777" w:rsidR="0049163A" w:rsidRDefault="00491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CDA3" w14:textId="69DECE52" w:rsidR="00BC2AA4" w:rsidRPr="00A64E6D" w:rsidRDefault="00BC2AA4" w:rsidP="000122BD">
    <w:pPr>
      <w:pStyle w:val="Footer"/>
      <w:tabs>
        <w:tab w:val="clear" w:pos="8640"/>
        <w:tab w:val="right" w:pos="8588"/>
      </w:tabs>
      <w:jc w:val="right"/>
      <w:rPr>
        <w:color w:val="13316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713E" w14:textId="77777777" w:rsidR="0049163A" w:rsidRDefault="0049163A" w:rsidP="00006000">
      <w:r>
        <w:separator/>
      </w:r>
    </w:p>
  </w:footnote>
  <w:footnote w:type="continuationSeparator" w:id="0">
    <w:p w14:paraId="72B1F0E9" w14:textId="77777777" w:rsidR="0049163A" w:rsidRDefault="0049163A" w:rsidP="00006000">
      <w:r>
        <w:continuationSeparator/>
      </w:r>
    </w:p>
  </w:footnote>
  <w:footnote w:type="continuationNotice" w:id="1">
    <w:p w14:paraId="1461E6B8" w14:textId="77777777" w:rsidR="0049163A" w:rsidRDefault="00491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E2A"/>
    <w:multiLevelType w:val="multilevel"/>
    <w:tmpl w:val="EA9AA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06" w:hanging="432"/>
      </w:pPr>
      <w:rPr>
        <w:rFonts w:ascii="Courier New" w:hAnsi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93BE3"/>
    <w:multiLevelType w:val="multilevel"/>
    <w:tmpl w:val="88BC2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7655D"/>
    <w:multiLevelType w:val="hybridMultilevel"/>
    <w:tmpl w:val="C2E8C8D2"/>
    <w:lvl w:ilvl="0" w:tplc="7DDE4FB2">
      <w:start w:val="1"/>
      <w:numFmt w:val="bullet"/>
      <w:lvlText w:val="–"/>
      <w:lvlJc w:val="left"/>
      <w:pPr>
        <w:ind w:left="54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BC23188"/>
    <w:multiLevelType w:val="hybridMultilevel"/>
    <w:tmpl w:val="C750C1D8"/>
    <w:lvl w:ilvl="0" w:tplc="8898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46B1"/>
    <w:multiLevelType w:val="hybridMultilevel"/>
    <w:tmpl w:val="CE7E387E"/>
    <w:lvl w:ilvl="0" w:tplc="7974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538B"/>
    <w:multiLevelType w:val="hybridMultilevel"/>
    <w:tmpl w:val="7E7486C2"/>
    <w:lvl w:ilvl="0" w:tplc="0884FE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33B2"/>
    <w:multiLevelType w:val="multilevel"/>
    <w:tmpl w:val="F66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95E8C"/>
    <w:multiLevelType w:val="hybridMultilevel"/>
    <w:tmpl w:val="B4CEF936"/>
    <w:lvl w:ilvl="0" w:tplc="8898BDD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40"/>
    <w:rsid w:val="00006000"/>
    <w:rsid w:val="00006A99"/>
    <w:rsid w:val="000122BD"/>
    <w:rsid w:val="0002047D"/>
    <w:rsid w:val="00032E76"/>
    <w:rsid w:val="00037323"/>
    <w:rsid w:val="00053A3A"/>
    <w:rsid w:val="0006222B"/>
    <w:rsid w:val="000636A9"/>
    <w:rsid w:val="00064659"/>
    <w:rsid w:val="00082305"/>
    <w:rsid w:val="000A1AE9"/>
    <w:rsid w:val="000B591F"/>
    <w:rsid w:val="000C7188"/>
    <w:rsid w:val="000D3730"/>
    <w:rsid w:val="000D4079"/>
    <w:rsid w:val="0010200A"/>
    <w:rsid w:val="00132ABB"/>
    <w:rsid w:val="0014209D"/>
    <w:rsid w:val="001548C0"/>
    <w:rsid w:val="00157F7B"/>
    <w:rsid w:val="0016593C"/>
    <w:rsid w:val="00177F69"/>
    <w:rsid w:val="00190FA7"/>
    <w:rsid w:val="001B6AAF"/>
    <w:rsid w:val="001B7E60"/>
    <w:rsid w:val="001E237C"/>
    <w:rsid w:val="001E5A7E"/>
    <w:rsid w:val="001F4E1A"/>
    <w:rsid w:val="00226E65"/>
    <w:rsid w:val="002327C9"/>
    <w:rsid w:val="00235E08"/>
    <w:rsid w:val="002547D8"/>
    <w:rsid w:val="00266AE7"/>
    <w:rsid w:val="00267BCC"/>
    <w:rsid w:val="002733CC"/>
    <w:rsid w:val="00282D15"/>
    <w:rsid w:val="00290052"/>
    <w:rsid w:val="002E061A"/>
    <w:rsid w:val="002E3A3C"/>
    <w:rsid w:val="002E592D"/>
    <w:rsid w:val="002E682A"/>
    <w:rsid w:val="002F08BF"/>
    <w:rsid w:val="002F415D"/>
    <w:rsid w:val="002F7416"/>
    <w:rsid w:val="003237CE"/>
    <w:rsid w:val="0032480D"/>
    <w:rsid w:val="00340479"/>
    <w:rsid w:val="003417DF"/>
    <w:rsid w:val="00347247"/>
    <w:rsid w:val="00361C73"/>
    <w:rsid w:val="00365871"/>
    <w:rsid w:val="003848A9"/>
    <w:rsid w:val="0039699E"/>
    <w:rsid w:val="003A4A69"/>
    <w:rsid w:val="003E65EC"/>
    <w:rsid w:val="004145DB"/>
    <w:rsid w:val="004219B8"/>
    <w:rsid w:val="004460F0"/>
    <w:rsid w:val="00486B51"/>
    <w:rsid w:val="00487A36"/>
    <w:rsid w:val="004913C2"/>
    <w:rsid w:val="0049163A"/>
    <w:rsid w:val="004D4D5A"/>
    <w:rsid w:val="004E11F3"/>
    <w:rsid w:val="004E3672"/>
    <w:rsid w:val="004E3BA0"/>
    <w:rsid w:val="00550474"/>
    <w:rsid w:val="00552553"/>
    <w:rsid w:val="005A24C5"/>
    <w:rsid w:val="005B5D9E"/>
    <w:rsid w:val="005C2448"/>
    <w:rsid w:val="005C327B"/>
    <w:rsid w:val="0061593A"/>
    <w:rsid w:val="00621605"/>
    <w:rsid w:val="00644A28"/>
    <w:rsid w:val="006522DE"/>
    <w:rsid w:val="00662560"/>
    <w:rsid w:val="00664194"/>
    <w:rsid w:val="00666D91"/>
    <w:rsid w:val="00681087"/>
    <w:rsid w:val="006A76C4"/>
    <w:rsid w:val="006B3604"/>
    <w:rsid w:val="006C5538"/>
    <w:rsid w:val="006E46C6"/>
    <w:rsid w:val="00731903"/>
    <w:rsid w:val="00734665"/>
    <w:rsid w:val="00743630"/>
    <w:rsid w:val="00750A33"/>
    <w:rsid w:val="0076753B"/>
    <w:rsid w:val="007B74C0"/>
    <w:rsid w:val="007E19A5"/>
    <w:rsid w:val="00823F26"/>
    <w:rsid w:val="00831C1D"/>
    <w:rsid w:val="00850C87"/>
    <w:rsid w:val="00864E13"/>
    <w:rsid w:val="00876173"/>
    <w:rsid w:val="00890588"/>
    <w:rsid w:val="008B2C67"/>
    <w:rsid w:val="008C6761"/>
    <w:rsid w:val="008E7613"/>
    <w:rsid w:val="008F186D"/>
    <w:rsid w:val="008F36EE"/>
    <w:rsid w:val="008F69A6"/>
    <w:rsid w:val="008F7559"/>
    <w:rsid w:val="0091097E"/>
    <w:rsid w:val="009235BE"/>
    <w:rsid w:val="00942CAF"/>
    <w:rsid w:val="0094506F"/>
    <w:rsid w:val="009550F2"/>
    <w:rsid w:val="00957039"/>
    <w:rsid w:val="009B0619"/>
    <w:rsid w:val="009B0D28"/>
    <w:rsid w:val="009C27C5"/>
    <w:rsid w:val="00A13C75"/>
    <w:rsid w:val="00A469EF"/>
    <w:rsid w:val="00A470FF"/>
    <w:rsid w:val="00A50DAF"/>
    <w:rsid w:val="00A64E6D"/>
    <w:rsid w:val="00A67E20"/>
    <w:rsid w:val="00A768FD"/>
    <w:rsid w:val="00A805C3"/>
    <w:rsid w:val="00A85109"/>
    <w:rsid w:val="00AD2796"/>
    <w:rsid w:val="00AE36AB"/>
    <w:rsid w:val="00AE56C8"/>
    <w:rsid w:val="00AF0880"/>
    <w:rsid w:val="00B338FC"/>
    <w:rsid w:val="00B40544"/>
    <w:rsid w:val="00B5313C"/>
    <w:rsid w:val="00B726FC"/>
    <w:rsid w:val="00B85E18"/>
    <w:rsid w:val="00BA50EF"/>
    <w:rsid w:val="00BA7AF3"/>
    <w:rsid w:val="00BC2AA4"/>
    <w:rsid w:val="00BC65E6"/>
    <w:rsid w:val="00BD6F40"/>
    <w:rsid w:val="00BD7746"/>
    <w:rsid w:val="00BF4136"/>
    <w:rsid w:val="00C005E1"/>
    <w:rsid w:val="00C1383B"/>
    <w:rsid w:val="00C37124"/>
    <w:rsid w:val="00C44339"/>
    <w:rsid w:val="00C762CE"/>
    <w:rsid w:val="00CC236A"/>
    <w:rsid w:val="00CF3C57"/>
    <w:rsid w:val="00D0293D"/>
    <w:rsid w:val="00D0478A"/>
    <w:rsid w:val="00D201C0"/>
    <w:rsid w:val="00D20493"/>
    <w:rsid w:val="00D23DB9"/>
    <w:rsid w:val="00D3243F"/>
    <w:rsid w:val="00D61473"/>
    <w:rsid w:val="00D717FA"/>
    <w:rsid w:val="00D9311C"/>
    <w:rsid w:val="00D97EE0"/>
    <w:rsid w:val="00DA14D4"/>
    <w:rsid w:val="00DA5BEB"/>
    <w:rsid w:val="00DA6514"/>
    <w:rsid w:val="00DB0992"/>
    <w:rsid w:val="00DC7BB2"/>
    <w:rsid w:val="00DE25BD"/>
    <w:rsid w:val="00DE3698"/>
    <w:rsid w:val="00E12600"/>
    <w:rsid w:val="00E13AD2"/>
    <w:rsid w:val="00E64B12"/>
    <w:rsid w:val="00ED01BC"/>
    <w:rsid w:val="00F261E9"/>
    <w:rsid w:val="00F427FB"/>
    <w:rsid w:val="00F51004"/>
    <w:rsid w:val="00F81B1E"/>
    <w:rsid w:val="00F9195F"/>
    <w:rsid w:val="00FA3A4F"/>
    <w:rsid w:val="00FB0564"/>
    <w:rsid w:val="00FB0D7A"/>
    <w:rsid w:val="00FB10D6"/>
    <w:rsid w:val="00FD2217"/>
    <w:rsid w:val="00FE138E"/>
    <w:rsid w:val="281DB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E2C78D"/>
  <w15:docId w15:val="{10F8702C-6023-4756-BD50-3286C58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40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line="200" w:lineRule="exact"/>
    </w:pPr>
    <w:rPr>
      <w:color w:val="13316E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44A28"/>
    <w:rPr>
      <w:color w:val="13316E"/>
      <w:u w:val="single"/>
    </w:rPr>
  </w:style>
  <w:style w:type="paragraph" w:customStyle="1" w:styleId="02NameSurname">
    <w:name w:val="02_Name_Surname"/>
    <w:qFormat/>
    <w:rsid w:val="00743630"/>
    <w:pPr>
      <w:spacing w:line="240" w:lineRule="exact"/>
    </w:pPr>
    <w:rPr>
      <w:b/>
      <w:noProof/>
      <w:color w:val="000000"/>
      <w:lang w:val="en-US" w:eastAsia="en-US"/>
    </w:rPr>
  </w:style>
  <w:style w:type="paragraph" w:customStyle="1" w:styleId="03Title">
    <w:name w:val="03_Title"/>
    <w:qFormat/>
    <w:rsid w:val="005C2448"/>
    <w:pPr>
      <w:spacing w:line="240" w:lineRule="exact"/>
    </w:pPr>
    <w:rPr>
      <w:color w:val="000000"/>
      <w:lang w:eastAsia="ja-JP"/>
    </w:rPr>
  </w:style>
  <w:style w:type="paragraph" w:customStyle="1" w:styleId="04companyName">
    <w:name w:val="04_company Name"/>
    <w:qFormat/>
    <w:rsid w:val="00F51004"/>
    <w:pPr>
      <w:spacing w:line="240" w:lineRule="exact"/>
    </w:pPr>
    <w:rPr>
      <w:color w:val="000000"/>
      <w:lang w:eastAsia="ja-JP"/>
    </w:rPr>
  </w:style>
  <w:style w:type="paragraph" w:customStyle="1" w:styleId="05Addressandtitle">
    <w:name w:val="05_Address and title"/>
    <w:qFormat/>
    <w:rsid w:val="00644A28"/>
    <w:rPr>
      <w:color w:val="000000"/>
      <w:lang w:eastAsia="ja-JP"/>
    </w:rPr>
  </w:style>
  <w:style w:type="paragraph" w:customStyle="1" w:styleId="06Subjectofletter">
    <w:name w:val="06_Subject of letter"/>
    <w:qFormat/>
    <w:rsid w:val="00644A28"/>
    <w:pPr>
      <w:spacing w:before="640"/>
    </w:pPr>
    <w:rPr>
      <w:b/>
      <w:color w:val="000000"/>
      <w:sz w:val="28"/>
      <w:szCs w:val="28"/>
      <w:lang w:eastAsia="ja-JP"/>
    </w:rPr>
  </w:style>
  <w:style w:type="paragraph" w:customStyle="1" w:styleId="07DearSirMadam">
    <w:name w:val="07_Dear Sir/Madam"/>
    <w:qFormat/>
    <w:rsid w:val="00644A28"/>
    <w:pPr>
      <w:spacing w:before="450"/>
    </w:pPr>
    <w:rPr>
      <w:b/>
      <w:color w:val="000000"/>
      <w:lang w:eastAsia="ja-JP"/>
    </w:rPr>
  </w:style>
  <w:style w:type="paragraph" w:customStyle="1" w:styleId="08Bodycopy">
    <w:name w:val="08_Body copy"/>
    <w:qFormat/>
    <w:rsid w:val="00644A28"/>
    <w:pPr>
      <w:spacing w:line="240" w:lineRule="exact"/>
    </w:pPr>
    <w:rPr>
      <w:color w:val="000000"/>
      <w:lang w:eastAsia="ja-JP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character" w:customStyle="1" w:styleId="10Date">
    <w:name w:val="10_Date"/>
    <w:basedOn w:val="DefaultParagraphFont"/>
    <w:uiPriority w:val="1"/>
    <w:qFormat/>
    <w:rsid w:val="00F51004"/>
    <w:rPr>
      <w:rFonts w:asciiTheme="minorHAnsi" w:hAnsiTheme="minorHAnsi"/>
      <w:b w:val="0"/>
      <w:color w:val="000000" w:themeColor="text1"/>
      <w:sz w:val="20"/>
    </w:rPr>
  </w:style>
  <w:style w:type="paragraph" w:customStyle="1" w:styleId="OurReference">
    <w:name w:val="Our Reference"/>
    <w:basedOn w:val="05Addressandtitle"/>
    <w:qFormat/>
    <w:rsid w:val="00F51004"/>
    <w:pPr>
      <w:spacing w:before="240"/>
    </w:pPr>
  </w:style>
  <w:style w:type="paragraph" w:customStyle="1" w:styleId="YourReference">
    <w:name w:val="Your Reference"/>
    <w:basedOn w:val="05Addressandtitle"/>
    <w:qFormat/>
    <w:rsid w:val="00F51004"/>
  </w:style>
  <w:style w:type="paragraph" w:styleId="ListParagraph">
    <w:name w:val="List Paragraph"/>
    <w:basedOn w:val="Normal"/>
    <w:uiPriority w:val="34"/>
    <w:qFormat/>
    <w:rsid w:val="00BD6F40"/>
    <w:pPr>
      <w:ind w:left="720"/>
      <w:contextualSpacing/>
    </w:pPr>
  </w:style>
  <w:style w:type="table" w:styleId="TableGrid">
    <w:name w:val="Table Grid"/>
    <w:basedOn w:val="TableNormal"/>
    <w:uiPriority w:val="59"/>
    <w:rsid w:val="00BD6F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5A7E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A7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A7E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D632292D5964E9A21DFDB0D7BE6E4" ma:contentTypeVersion="13" ma:contentTypeDescription="Create a new document." ma:contentTypeScope="" ma:versionID="f8445974c8fc9e96c759a5078a335898">
  <xsd:schema xmlns:xsd="http://www.w3.org/2001/XMLSchema" xmlns:xs="http://www.w3.org/2001/XMLSchema" xmlns:p="http://schemas.microsoft.com/office/2006/metadata/properties" xmlns:ns2="255e1989-615b-4750-928b-329a978a95a9" xmlns:ns3="6ca261b7-a72b-44f6-8def-b67825fcb21c" targetNamespace="http://schemas.microsoft.com/office/2006/metadata/properties" ma:root="true" ma:fieldsID="f358068d88916fb68409db47b73181e5" ns2:_="" ns3:_="">
    <xsd:import namespace="255e1989-615b-4750-928b-329a978a95a9"/>
    <xsd:import namespace="6ca261b7-a72b-44f6-8def-b67825fcb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1989-615b-4750-928b-329a978a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261b7-a72b-44f6-8def-b67825fc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B9E6-DCF0-4C89-BA9E-F44B1C50E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021BF-8E5A-4CDA-9E87-88AE9E0E9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B25B8-352E-4B2C-AB59-E2F078BC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e1989-615b-4750-928b-329a978a95a9"/>
    <ds:schemaRef ds:uri="6ca261b7-a72b-44f6-8def-b67825fc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14153-7799-45F2-BEAA-87784F7C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Shead</dc:creator>
  <cp:keywords/>
  <dc:description/>
  <cp:lastModifiedBy>Kimberly Murrell</cp:lastModifiedBy>
  <cp:revision>5</cp:revision>
  <cp:lastPrinted>2019-09-23T09:59:00Z</cp:lastPrinted>
  <dcterms:created xsi:type="dcterms:W3CDTF">2021-09-02T08:19:00Z</dcterms:created>
  <dcterms:modified xsi:type="dcterms:W3CDTF">2021-09-02T14:40:00Z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0x01010098FD632292D5964E9A21DFDB0D7BE6E4</vt:lpwstr>
  </property>
</Properties>
</file>